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4995" w14:textId="77777777" w:rsidR="000F7FA2" w:rsidRPr="0084129A" w:rsidRDefault="000F7FA2" w:rsidP="0095202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AAD9EE3" w14:textId="7EB1F932" w:rsidR="00652D74" w:rsidRPr="0084129A" w:rsidRDefault="00652D74" w:rsidP="0095202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441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6"/>
      </w:tblGrid>
      <w:tr w:rsidR="0084129A" w:rsidRPr="0084129A" w14:paraId="7404FA97" w14:textId="77777777" w:rsidTr="009D57B2">
        <w:trPr>
          <w:trHeight w:val="1550"/>
        </w:trPr>
        <w:tc>
          <w:tcPr>
            <w:tcW w:w="8886" w:type="dxa"/>
          </w:tcPr>
          <w:p w14:paraId="01D9577E" w14:textId="0D808370" w:rsidR="0084129A" w:rsidRPr="0084129A" w:rsidRDefault="0084129A" w:rsidP="00952023">
            <w:pPr>
              <w:spacing w:before="120" w:after="120" w:line="276" w:lineRule="auto"/>
              <w:ind w:left="1452" w:hanging="1418"/>
              <w:rPr>
                <w:rFonts w:eastAsia="Calibri" w:cstheme="minorHAnsi"/>
                <w:b/>
                <w:sz w:val="28"/>
                <w:szCs w:val="28"/>
              </w:rPr>
            </w:pPr>
            <w:r w:rsidRPr="0084129A">
              <w:rPr>
                <w:rFonts w:eastAsia="Calibri" w:cstheme="minorHAnsi"/>
                <w:b/>
                <w:sz w:val="28"/>
                <w:szCs w:val="28"/>
              </w:rPr>
              <w:t>SUBJECT:</w:t>
            </w:r>
            <w:r w:rsidRPr="0084129A">
              <w:rPr>
                <w:rFonts w:eastAsia="Calibri" w:cstheme="minorHAnsi"/>
                <w:b/>
                <w:sz w:val="28"/>
                <w:szCs w:val="28"/>
              </w:rPr>
              <w:tab/>
              <w:t xml:space="preserve">Gwent </w:t>
            </w:r>
            <w:r w:rsidR="00793F84">
              <w:rPr>
                <w:rFonts w:eastAsia="Calibri" w:cstheme="minorHAnsi"/>
                <w:b/>
                <w:sz w:val="28"/>
                <w:szCs w:val="28"/>
              </w:rPr>
              <w:t>W</w:t>
            </w:r>
            <w:r w:rsidR="00AB0A22">
              <w:rPr>
                <w:rFonts w:eastAsia="Calibri" w:cstheme="minorHAnsi"/>
                <w:b/>
                <w:sz w:val="28"/>
                <w:szCs w:val="28"/>
              </w:rPr>
              <w:t>ell-being plan</w:t>
            </w:r>
            <w:r w:rsidR="00136B3C">
              <w:rPr>
                <w:rFonts w:eastAsia="Calibri" w:cstheme="minorHAnsi"/>
                <w:b/>
                <w:sz w:val="28"/>
                <w:szCs w:val="28"/>
              </w:rPr>
              <w:t xml:space="preserve"> 2023-28</w:t>
            </w:r>
            <w:r w:rsidR="00AB0A22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r w:rsidR="00136B3C">
              <w:rPr>
                <w:rFonts w:eastAsia="Calibri" w:cstheme="minorHAnsi"/>
                <w:b/>
                <w:sz w:val="28"/>
                <w:szCs w:val="28"/>
              </w:rPr>
              <w:t>d</w:t>
            </w:r>
            <w:r w:rsidR="00AB0A22">
              <w:rPr>
                <w:rFonts w:eastAsia="Calibri" w:cstheme="minorHAnsi"/>
                <w:b/>
                <w:sz w:val="28"/>
                <w:szCs w:val="28"/>
              </w:rPr>
              <w:t>elivery</w:t>
            </w:r>
            <w:r w:rsidR="00136B3C">
              <w:rPr>
                <w:rFonts w:eastAsia="Calibri" w:cstheme="minorHAnsi"/>
                <w:b/>
                <w:sz w:val="28"/>
                <w:szCs w:val="28"/>
              </w:rPr>
              <w:t xml:space="preserve"> plan development</w:t>
            </w:r>
          </w:p>
          <w:p w14:paraId="09FE24F0" w14:textId="1D7F5226" w:rsidR="0084129A" w:rsidRDefault="0084129A" w:rsidP="00952023">
            <w:pPr>
              <w:keepNext/>
              <w:spacing w:before="120" w:after="120" w:line="240" w:lineRule="auto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4129A">
              <w:rPr>
                <w:rFonts w:eastAsia="Times New Roman" w:cstheme="minorHAnsi"/>
                <w:b/>
                <w:bCs/>
                <w:sz w:val="28"/>
                <w:szCs w:val="28"/>
              </w:rPr>
              <w:t>MEETING:</w:t>
            </w:r>
            <w:r w:rsidRPr="0084129A">
              <w:rPr>
                <w:rFonts w:eastAsia="Times New Roman" w:cstheme="minorHAnsi"/>
                <w:b/>
                <w:bCs/>
                <w:sz w:val="28"/>
                <w:szCs w:val="28"/>
              </w:rPr>
              <w:tab/>
              <w:t xml:space="preserve">Gwent Public Services Board </w:t>
            </w:r>
          </w:p>
          <w:p w14:paraId="0C3F50A1" w14:textId="1B7D5423" w:rsidR="0084129A" w:rsidRPr="0084129A" w:rsidRDefault="0084129A" w:rsidP="00952023">
            <w:pPr>
              <w:spacing w:before="120" w:after="12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4129A">
              <w:rPr>
                <w:rFonts w:eastAsia="Calibri" w:cstheme="minorHAnsi"/>
                <w:b/>
                <w:sz w:val="28"/>
                <w:szCs w:val="28"/>
              </w:rPr>
              <w:t>DATE:</w:t>
            </w:r>
            <w:r w:rsidRPr="0084129A">
              <w:rPr>
                <w:rFonts w:eastAsia="Calibri" w:cstheme="minorHAnsi"/>
                <w:b/>
                <w:sz w:val="28"/>
                <w:szCs w:val="28"/>
              </w:rPr>
              <w:tab/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r w:rsidR="00AB0A22">
              <w:rPr>
                <w:rFonts w:eastAsia="Calibri" w:cstheme="minorHAnsi"/>
                <w:b/>
                <w:sz w:val="28"/>
                <w:szCs w:val="28"/>
              </w:rPr>
              <w:t xml:space="preserve">14th December </w:t>
            </w:r>
            <w:r w:rsidRPr="0084129A">
              <w:rPr>
                <w:rFonts w:eastAsia="Calibri" w:cstheme="minorHAnsi"/>
                <w:b/>
                <w:sz w:val="28"/>
                <w:szCs w:val="28"/>
              </w:rPr>
              <w:t xml:space="preserve">2023 </w:t>
            </w:r>
          </w:p>
        </w:tc>
      </w:tr>
    </w:tbl>
    <w:p w14:paraId="0CB1E429" w14:textId="1F8AA913" w:rsidR="0084129A" w:rsidRPr="0084129A" w:rsidRDefault="0084129A" w:rsidP="0095202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5850FE0" w14:textId="7CBED345" w:rsidR="0084129A" w:rsidRPr="0084129A" w:rsidRDefault="0084129A" w:rsidP="0095202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FBC0889" w14:textId="2BA03D06" w:rsidR="0084129A" w:rsidRPr="0084129A" w:rsidRDefault="0084129A" w:rsidP="0095202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D51CD12" w14:textId="7E0E6558" w:rsidR="0084129A" w:rsidRPr="0084129A" w:rsidRDefault="0084129A" w:rsidP="0095202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952CFCB" w14:textId="48FA44BC" w:rsidR="0084129A" w:rsidRPr="0084129A" w:rsidRDefault="0084129A" w:rsidP="0095202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42BBDA8" w14:textId="5D17BC4F" w:rsidR="0084129A" w:rsidRPr="0084129A" w:rsidRDefault="0084129A" w:rsidP="0095202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29FFA36" w14:textId="7E4EEFCF" w:rsidR="0084129A" w:rsidRPr="0084129A" w:rsidRDefault="0084129A" w:rsidP="0095202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1B5486D" w14:textId="77777777" w:rsidR="00AA28D0" w:rsidRPr="0084129A" w:rsidRDefault="00AA28D0" w:rsidP="0095202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4129A">
        <w:rPr>
          <w:rFonts w:eastAsia="Times New Roman" w:cstheme="minorHAnsi"/>
          <w:b/>
          <w:sz w:val="24"/>
          <w:szCs w:val="24"/>
        </w:rPr>
        <w:t>1.</w:t>
      </w:r>
      <w:r w:rsidRPr="0084129A">
        <w:rPr>
          <w:rFonts w:eastAsia="Times New Roman" w:cstheme="minorHAnsi"/>
          <w:b/>
          <w:sz w:val="24"/>
          <w:szCs w:val="24"/>
        </w:rPr>
        <w:tab/>
        <w:t>PURPOSE</w:t>
      </w:r>
      <w:r w:rsidR="00A45271" w:rsidRPr="0084129A">
        <w:rPr>
          <w:rFonts w:eastAsia="Times New Roman" w:cstheme="minorHAnsi"/>
          <w:b/>
          <w:sz w:val="24"/>
          <w:szCs w:val="24"/>
        </w:rPr>
        <w:t xml:space="preserve"> </w:t>
      </w:r>
    </w:p>
    <w:p w14:paraId="12A84EE6" w14:textId="77777777" w:rsidR="00AA28D0" w:rsidRPr="0084129A" w:rsidRDefault="00AA28D0" w:rsidP="009520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42E131" w14:textId="7F85E8D5" w:rsidR="00AB0A22" w:rsidRPr="00AB0A22" w:rsidRDefault="004463F8" w:rsidP="0095202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Following the informal Gwent PSB and GSWAG meeting on 31</w:t>
      </w:r>
      <w:r w:rsidRPr="004463F8">
        <w:rPr>
          <w:rFonts w:eastAsia="Times New Roman" w:cstheme="minorHAnsi"/>
          <w:sz w:val="24"/>
          <w:szCs w:val="24"/>
          <w:vertAlign w:val="superscript"/>
        </w:rPr>
        <w:t>st</w:t>
      </w:r>
      <w:r>
        <w:rPr>
          <w:rFonts w:eastAsia="Times New Roman" w:cstheme="minorHAnsi"/>
          <w:sz w:val="24"/>
          <w:szCs w:val="24"/>
        </w:rPr>
        <w:t xml:space="preserve"> October, this paper</w:t>
      </w:r>
      <w:r w:rsidR="00AA28D0" w:rsidRPr="006A629F">
        <w:rPr>
          <w:rFonts w:eastAsia="Times New Roman" w:cstheme="minorHAnsi"/>
          <w:sz w:val="24"/>
          <w:szCs w:val="24"/>
        </w:rPr>
        <w:t xml:space="preserve"> </w:t>
      </w:r>
      <w:r w:rsidR="00EB320E" w:rsidRPr="006A629F">
        <w:rPr>
          <w:rFonts w:eastAsia="Times New Roman" w:cstheme="minorHAnsi"/>
          <w:sz w:val="24"/>
          <w:szCs w:val="24"/>
        </w:rPr>
        <w:t>provide</w:t>
      </w:r>
      <w:r>
        <w:rPr>
          <w:rFonts w:eastAsia="Times New Roman" w:cstheme="minorHAnsi"/>
          <w:sz w:val="24"/>
          <w:szCs w:val="24"/>
        </w:rPr>
        <w:t>s</w:t>
      </w:r>
      <w:r w:rsidR="003D527F" w:rsidRPr="006A629F">
        <w:rPr>
          <w:rFonts w:eastAsia="Times New Roman" w:cstheme="minorHAnsi"/>
          <w:sz w:val="24"/>
          <w:szCs w:val="24"/>
        </w:rPr>
        <w:t xml:space="preserve"> the Gwent </w:t>
      </w:r>
      <w:r w:rsidR="006A629F">
        <w:rPr>
          <w:rFonts w:eastAsia="Times New Roman" w:cstheme="minorHAnsi"/>
          <w:sz w:val="24"/>
          <w:szCs w:val="24"/>
        </w:rPr>
        <w:t xml:space="preserve">Public Services Board </w:t>
      </w:r>
      <w:r w:rsidR="003D527F" w:rsidRPr="006A629F">
        <w:rPr>
          <w:rFonts w:eastAsia="Times New Roman" w:cstheme="minorHAnsi"/>
          <w:sz w:val="24"/>
          <w:szCs w:val="24"/>
        </w:rPr>
        <w:t>with</w:t>
      </w:r>
      <w:r w:rsidR="00AB0A22">
        <w:rPr>
          <w:rFonts w:eastAsia="Times New Roman" w:cstheme="minorHAnsi"/>
          <w:sz w:val="24"/>
          <w:szCs w:val="24"/>
        </w:rPr>
        <w:t xml:space="preserve"> </w:t>
      </w:r>
      <w:r w:rsidR="00A00947">
        <w:rPr>
          <w:rFonts w:eastAsia="Times New Roman" w:cstheme="minorHAnsi"/>
          <w:sz w:val="24"/>
          <w:szCs w:val="24"/>
        </w:rPr>
        <w:t xml:space="preserve">an update on the </w:t>
      </w:r>
      <w:r>
        <w:rPr>
          <w:rFonts w:eastAsia="Times New Roman" w:cstheme="minorHAnsi"/>
          <w:sz w:val="24"/>
          <w:szCs w:val="24"/>
        </w:rPr>
        <w:t xml:space="preserve">process </w:t>
      </w:r>
      <w:r w:rsidR="00A00947">
        <w:rPr>
          <w:rFonts w:eastAsia="Times New Roman" w:cstheme="minorHAnsi"/>
          <w:sz w:val="24"/>
          <w:szCs w:val="24"/>
        </w:rPr>
        <w:t xml:space="preserve">to </w:t>
      </w:r>
      <w:r w:rsidR="00A00947" w:rsidRPr="00A00947">
        <w:rPr>
          <w:rFonts w:eastAsia="Times New Roman" w:cstheme="minorHAnsi"/>
          <w:sz w:val="24"/>
          <w:szCs w:val="24"/>
        </w:rPr>
        <w:t xml:space="preserve">develop </w:t>
      </w:r>
      <w:r w:rsidR="00A00947">
        <w:rPr>
          <w:rFonts w:eastAsia="Times New Roman" w:cstheme="minorHAnsi"/>
          <w:sz w:val="24"/>
          <w:szCs w:val="24"/>
        </w:rPr>
        <w:t>a tangible delivery plan focussed on the areas where the PSB</w:t>
      </w:r>
      <w:r w:rsidR="00A00947" w:rsidRPr="00A00947">
        <w:rPr>
          <w:rFonts w:eastAsia="Times New Roman" w:cstheme="minorHAnsi"/>
          <w:sz w:val="24"/>
          <w:szCs w:val="24"/>
        </w:rPr>
        <w:t xml:space="preserve"> can make most impact</w:t>
      </w:r>
      <w:r w:rsidR="00A00947">
        <w:rPr>
          <w:rFonts w:eastAsia="Times New Roman" w:cstheme="minorHAnsi"/>
          <w:sz w:val="24"/>
          <w:szCs w:val="24"/>
        </w:rPr>
        <w:t xml:space="preserve">. This will enable the PSB to consider clear </w:t>
      </w:r>
      <w:r w:rsidR="00AB0A22" w:rsidRPr="00AB0A22">
        <w:rPr>
          <w:rFonts w:eastAsia="Times New Roman" w:cstheme="minorHAnsi"/>
          <w:sz w:val="24"/>
          <w:szCs w:val="24"/>
        </w:rPr>
        <w:t xml:space="preserve">recommendations </w:t>
      </w:r>
      <w:r>
        <w:rPr>
          <w:rFonts w:eastAsia="Times New Roman" w:cstheme="minorHAnsi"/>
          <w:sz w:val="24"/>
          <w:szCs w:val="24"/>
        </w:rPr>
        <w:t>made by experts/professionals from partner organisation across Gwent</w:t>
      </w:r>
      <w:r w:rsidR="00AB0A22" w:rsidRPr="00AB0A22">
        <w:rPr>
          <w:rFonts w:eastAsia="Times New Roman" w:cstheme="minorHAnsi"/>
          <w:sz w:val="24"/>
          <w:szCs w:val="24"/>
        </w:rPr>
        <w:t xml:space="preserve">, resource implications and next steps </w:t>
      </w:r>
      <w:r w:rsidR="00A00947">
        <w:rPr>
          <w:rFonts w:eastAsia="Times New Roman" w:cstheme="minorHAnsi"/>
          <w:sz w:val="24"/>
          <w:szCs w:val="24"/>
        </w:rPr>
        <w:t xml:space="preserve">at its </w:t>
      </w:r>
      <w:r w:rsidR="00142E88">
        <w:rPr>
          <w:rFonts w:eastAsia="Times New Roman" w:cstheme="minorHAnsi"/>
          <w:sz w:val="24"/>
          <w:szCs w:val="24"/>
        </w:rPr>
        <w:t xml:space="preserve">next </w:t>
      </w:r>
      <w:r w:rsidR="00A00947">
        <w:rPr>
          <w:rFonts w:eastAsia="Times New Roman" w:cstheme="minorHAnsi"/>
          <w:sz w:val="24"/>
          <w:szCs w:val="24"/>
        </w:rPr>
        <w:t xml:space="preserve">meeting. </w:t>
      </w:r>
    </w:p>
    <w:p w14:paraId="5041ECE9" w14:textId="07A70ABE" w:rsidR="00C51C79" w:rsidRPr="006A629F" w:rsidRDefault="00C51C79" w:rsidP="0095202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31FF457" w14:textId="78C447FC" w:rsidR="00B05824" w:rsidRPr="006A629F" w:rsidRDefault="008C3988" w:rsidP="00952023">
      <w:pPr>
        <w:spacing w:after="0" w:line="240" w:lineRule="auto"/>
        <w:ind w:left="720" w:hanging="720"/>
        <w:rPr>
          <w:rFonts w:eastAsia="Times New Roman" w:cstheme="minorHAnsi"/>
          <w:b/>
          <w:sz w:val="24"/>
          <w:szCs w:val="24"/>
        </w:rPr>
      </w:pPr>
      <w:r w:rsidRPr="006A629F">
        <w:rPr>
          <w:rFonts w:eastAsia="Times New Roman" w:cstheme="minorHAnsi"/>
          <w:b/>
          <w:sz w:val="24"/>
          <w:szCs w:val="24"/>
        </w:rPr>
        <w:t>2</w:t>
      </w:r>
      <w:r w:rsidR="002F72B1" w:rsidRPr="006A629F">
        <w:rPr>
          <w:rFonts w:eastAsia="Times New Roman" w:cstheme="minorHAnsi"/>
          <w:b/>
          <w:sz w:val="24"/>
          <w:szCs w:val="24"/>
        </w:rPr>
        <w:t>.</w:t>
      </w:r>
      <w:r w:rsidR="002F72B1" w:rsidRPr="006A629F">
        <w:rPr>
          <w:rFonts w:eastAsia="Times New Roman" w:cstheme="minorHAnsi"/>
          <w:b/>
          <w:sz w:val="24"/>
          <w:szCs w:val="24"/>
        </w:rPr>
        <w:tab/>
      </w:r>
      <w:r w:rsidR="007D0A0B" w:rsidRPr="006A629F">
        <w:rPr>
          <w:rFonts w:eastAsia="Times New Roman" w:cstheme="minorHAnsi"/>
          <w:b/>
          <w:sz w:val="24"/>
          <w:szCs w:val="24"/>
        </w:rPr>
        <w:t>BACKGROUND</w:t>
      </w:r>
    </w:p>
    <w:p w14:paraId="5A50A400" w14:textId="296C34FF" w:rsidR="00B05824" w:rsidRPr="006A629F" w:rsidRDefault="00B05824" w:rsidP="00952023">
      <w:pPr>
        <w:spacing w:after="0" w:line="240" w:lineRule="auto"/>
        <w:ind w:left="720" w:hanging="720"/>
        <w:rPr>
          <w:rFonts w:eastAsia="Times New Roman" w:cstheme="minorHAnsi"/>
          <w:b/>
          <w:sz w:val="24"/>
          <w:szCs w:val="24"/>
        </w:rPr>
      </w:pPr>
      <w:r w:rsidRPr="006A629F">
        <w:rPr>
          <w:rFonts w:eastAsia="Times New Roman" w:cstheme="minorHAnsi"/>
          <w:b/>
          <w:sz w:val="24"/>
          <w:szCs w:val="24"/>
        </w:rPr>
        <w:tab/>
      </w:r>
    </w:p>
    <w:p w14:paraId="5A34744C" w14:textId="370CEC1E" w:rsidR="00C30886" w:rsidRDefault="007D0A0B" w:rsidP="00C30886">
      <w:pPr>
        <w:ind w:left="720" w:hanging="720"/>
        <w:rPr>
          <w:rFonts w:cstheme="minorHAnsi"/>
          <w:sz w:val="24"/>
          <w:szCs w:val="24"/>
        </w:rPr>
      </w:pPr>
      <w:r w:rsidRPr="006A629F">
        <w:rPr>
          <w:rFonts w:cstheme="minorHAnsi"/>
          <w:sz w:val="24"/>
          <w:szCs w:val="24"/>
        </w:rPr>
        <w:t>2.</w:t>
      </w:r>
      <w:r w:rsidR="004463F8">
        <w:rPr>
          <w:rFonts w:cstheme="minorHAnsi"/>
          <w:sz w:val="24"/>
          <w:szCs w:val="24"/>
        </w:rPr>
        <w:t>1</w:t>
      </w:r>
      <w:r w:rsidRPr="006A629F">
        <w:rPr>
          <w:rFonts w:cstheme="minorHAnsi"/>
          <w:sz w:val="24"/>
          <w:szCs w:val="24"/>
        </w:rPr>
        <w:tab/>
        <w:t xml:space="preserve">The </w:t>
      </w:r>
      <w:r w:rsidR="00A00947">
        <w:rPr>
          <w:rFonts w:cstheme="minorHAnsi"/>
          <w:sz w:val="24"/>
          <w:szCs w:val="24"/>
        </w:rPr>
        <w:t xml:space="preserve">Gwent </w:t>
      </w:r>
      <w:r w:rsidRPr="006A629F">
        <w:rPr>
          <w:rFonts w:cstheme="minorHAnsi"/>
          <w:sz w:val="24"/>
          <w:szCs w:val="24"/>
        </w:rPr>
        <w:t xml:space="preserve">Wellbeing Plan </w:t>
      </w:r>
      <w:r w:rsidR="00C30886">
        <w:rPr>
          <w:rFonts w:cstheme="minorHAnsi"/>
          <w:sz w:val="24"/>
          <w:szCs w:val="24"/>
        </w:rPr>
        <w:t xml:space="preserve">2023-2028 </w:t>
      </w:r>
      <w:r w:rsidR="00A00947">
        <w:rPr>
          <w:rFonts w:cstheme="minorHAnsi"/>
          <w:sz w:val="24"/>
          <w:szCs w:val="24"/>
        </w:rPr>
        <w:t xml:space="preserve">was agreed by the PSB at its </w:t>
      </w:r>
      <w:r w:rsidR="00C30886">
        <w:rPr>
          <w:rFonts w:cstheme="minorHAnsi"/>
          <w:sz w:val="24"/>
          <w:szCs w:val="24"/>
        </w:rPr>
        <w:t xml:space="preserve">meeting in July 2023. The plan set two </w:t>
      </w:r>
      <w:r w:rsidR="00C30886" w:rsidRPr="00C30886">
        <w:rPr>
          <w:rFonts w:cstheme="minorHAnsi"/>
          <w:sz w:val="24"/>
          <w:szCs w:val="24"/>
        </w:rPr>
        <w:t>Well-being Objectives</w:t>
      </w:r>
      <w:r w:rsidR="00C30886">
        <w:rPr>
          <w:rFonts w:cstheme="minorHAnsi"/>
          <w:sz w:val="24"/>
          <w:szCs w:val="24"/>
        </w:rPr>
        <w:t xml:space="preserve"> and f</w:t>
      </w:r>
      <w:r w:rsidR="00C30886" w:rsidRPr="00C30886">
        <w:rPr>
          <w:rFonts w:cstheme="minorHAnsi"/>
          <w:sz w:val="24"/>
          <w:szCs w:val="24"/>
        </w:rPr>
        <w:t>ive Steps</w:t>
      </w:r>
      <w:r w:rsidR="00C30886">
        <w:rPr>
          <w:rFonts w:cstheme="minorHAnsi"/>
          <w:sz w:val="24"/>
          <w:szCs w:val="24"/>
        </w:rPr>
        <w:t xml:space="preserve"> to deliver them. The plan also embedded f</w:t>
      </w:r>
      <w:r w:rsidR="00C30886" w:rsidRPr="00C30886">
        <w:rPr>
          <w:rFonts w:cstheme="minorHAnsi"/>
          <w:sz w:val="24"/>
          <w:szCs w:val="24"/>
        </w:rPr>
        <w:t xml:space="preserve">our </w:t>
      </w:r>
      <w:r w:rsidR="00C30886">
        <w:rPr>
          <w:rFonts w:cstheme="minorHAnsi"/>
          <w:sz w:val="24"/>
          <w:szCs w:val="24"/>
        </w:rPr>
        <w:t>o</w:t>
      </w:r>
      <w:r w:rsidR="00C30886" w:rsidRPr="00C30886">
        <w:rPr>
          <w:rFonts w:cstheme="minorHAnsi"/>
          <w:sz w:val="24"/>
          <w:szCs w:val="24"/>
        </w:rPr>
        <w:t xml:space="preserve">verarching </w:t>
      </w:r>
      <w:r w:rsidR="00C30886">
        <w:rPr>
          <w:rFonts w:cstheme="minorHAnsi"/>
          <w:sz w:val="24"/>
          <w:szCs w:val="24"/>
        </w:rPr>
        <w:t>p</w:t>
      </w:r>
      <w:r w:rsidR="00C30886" w:rsidRPr="00C30886">
        <w:rPr>
          <w:rFonts w:cstheme="minorHAnsi"/>
          <w:sz w:val="24"/>
          <w:szCs w:val="24"/>
        </w:rPr>
        <w:t>rinciples</w:t>
      </w:r>
      <w:r w:rsidR="00C30886">
        <w:rPr>
          <w:rFonts w:cstheme="minorHAnsi"/>
          <w:sz w:val="24"/>
          <w:szCs w:val="24"/>
        </w:rPr>
        <w:t xml:space="preserve"> on the way the PSB will work to deliver its objectives. </w:t>
      </w:r>
    </w:p>
    <w:p w14:paraId="7AC94CAE" w14:textId="2E05F38E" w:rsidR="005F3452" w:rsidRDefault="00C30886" w:rsidP="00C30886">
      <w:pPr>
        <w:ind w:left="720" w:hanging="720"/>
        <w:rPr>
          <w:rFonts w:cstheme="minorHAnsi"/>
          <w:sz w:val="24"/>
          <w:szCs w:val="24"/>
        </w:rPr>
      </w:pPr>
      <w:r w:rsidRPr="006A629F">
        <w:rPr>
          <w:rFonts w:cstheme="minorHAnsi"/>
          <w:sz w:val="24"/>
          <w:szCs w:val="24"/>
        </w:rPr>
        <w:t>2</w:t>
      </w:r>
      <w:r w:rsidR="004463F8">
        <w:rPr>
          <w:rFonts w:cstheme="minorHAnsi"/>
          <w:sz w:val="24"/>
          <w:szCs w:val="24"/>
        </w:rPr>
        <w:t>.2</w:t>
      </w:r>
      <w:r w:rsidRPr="006A629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The </w:t>
      </w:r>
      <w:r w:rsidRPr="00C30886">
        <w:rPr>
          <w:rFonts w:cstheme="minorHAnsi"/>
          <w:sz w:val="24"/>
          <w:szCs w:val="24"/>
        </w:rPr>
        <w:t xml:space="preserve">Gwent PSB </w:t>
      </w:r>
      <w:r>
        <w:rPr>
          <w:rFonts w:cstheme="minorHAnsi"/>
          <w:sz w:val="24"/>
          <w:szCs w:val="24"/>
        </w:rPr>
        <w:t xml:space="preserve">has also </w:t>
      </w:r>
      <w:r w:rsidRPr="00C30886">
        <w:rPr>
          <w:rFonts w:cstheme="minorHAnsi"/>
          <w:sz w:val="24"/>
          <w:szCs w:val="24"/>
        </w:rPr>
        <w:t>signalled its collective ambition to address inequity and its root causes</w:t>
      </w:r>
      <w:r>
        <w:rPr>
          <w:rFonts w:cstheme="minorHAnsi"/>
          <w:sz w:val="24"/>
          <w:szCs w:val="24"/>
        </w:rPr>
        <w:t xml:space="preserve"> in March 202</w:t>
      </w:r>
      <w:r w:rsidR="005F345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A</w:t>
      </w:r>
      <w:r w:rsidRPr="00C30886">
        <w:rPr>
          <w:rFonts w:cstheme="minorHAnsi"/>
          <w:sz w:val="24"/>
          <w:szCs w:val="24"/>
        </w:rPr>
        <w:t xml:space="preserve"> significant amount of work has taken place on behalf of the PSB, resulting in the publication of Building a Fairer Gwent: Improving Health Equity and the Social Determinants, </w:t>
      </w:r>
      <w:r w:rsidR="005F3452">
        <w:rPr>
          <w:rFonts w:cstheme="minorHAnsi"/>
          <w:sz w:val="24"/>
          <w:szCs w:val="24"/>
        </w:rPr>
        <w:t xml:space="preserve">report which the PSB received in July 2023 and </w:t>
      </w:r>
      <w:r w:rsidRPr="00C30886">
        <w:rPr>
          <w:rFonts w:cstheme="minorHAnsi"/>
          <w:sz w:val="24"/>
          <w:szCs w:val="24"/>
        </w:rPr>
        <w:t>re-</w:t>
      </w:r>
      <w:r w:rsidR="005F3452" w:rsidRPr="00C30886">
        <w:rPr>
          <w:rFonts w:cstheme="minorHAnsi"/>
          <w:sz w:val="24"/>
          <w:szCs w:val="24"/>
        </w:rPr>
        <w:t>state</w:t>
      </w:r>
      <w:r w:rsidR="005F3452">
        <w:rPr>
          <w:rFonts w:cstheme="minorHAnsi"/>
          <w:sz w:val="24"/>
          <w:szCs w:val="24"/>
        </w:rPr>
        <w:t xml:space="preserve">d </w:t>
      </w:r>
      <w:r w:rsidRPr="00C30886">
        <w:rPr>
          <w:rFonts w:cstheme="minorHAnsi"/>
          <w:sz w:val="24"/>
          <w:szCs w:val="24"/>
        </w:rPr>
        <w:t>and re-confirm</w:t>
      </w:r>
      <w:r w:rsidR="005F3452">
        <w:rPr>
          <w:rFonts w:cstheme="minorHAnsi"/>
          <w:sz w:val="24"/>
          <w:szCs w:val="24"/>
        </w:rPr>
        <w:t>ed</w:t>
      </w:r>
      <w:r w:rsidRPr="00C30886">
        <w:rPr>
          <w:rFonts w:cstheme="minorHAnsi"/>
          <w:sz w:val="24"/>
          <w:szCs w:val="24"/>
        </w:rPr>
        <w:t xml:space="preserve"> </w:t>
      </w:r>
      <w:r w:rsidR="005F3452">
        <w:rPr>
          <w:rFonts w:cstheme="minorHAnsi"/>
          <w:sz w:val="24"/>
          <w:szCs w:val="24"/>
        </w:rPr>
        <w:t>its ambition to address in equity and its root causes. The</w:t>
      </w:r>
      <w:r w:rsidRPr="00C30886">
        <w:rPr>
          <w:rFonts w:cstheme="minorHAnsi"/>
          <w:sz w:val="24"/>
          <w:szCs w:val="24"/>
        </w:rPr>
        <w:t xml:space="preserve"> eight Marmot Principles that form the basis of the </w:t>
      </w:r>
      <w:r w:rsidR="005F3452">
        <w:rPr>
          <w:rFonts w:cstheme="minorHAnsi"/>
          <w:sz w:val="24"/>
          <w:szCs w:val="24"/>
        </w:rPr>
        <w:t xml:space="preserve">report are embedded in the </w:t>
      </w:r>
      <w:r w:rsidR="00344579">
        <w:rPr>
          <w:rFonts w:cstheme="minorHAnsi"/>
          <w:sz w:val="24"/>
          <w:szCs w:val="24"/>
        </w:rPr>
        <w:t>W</w:t>
      </w:r>
      <w:r w:rsidR="005F3452">
        <w:rPr>
          <w:rFonts w:cstheme="minorHAnsi"/>
          <w:sz w:val="24"/>
          <w:szCs w:val="24"/>
        </w:rPr>
        <w:t xml:space="preserve">ell-being </w:t>
      </w:r>
      <w:r w:rsidR="00344579">
        <w:rPr>
          <w:rFonts w:cstheme="minorHAnsi"/>
          <w:sz w:val="24"/>
          <w:szCs w:val="24"/>
        </w:rPr>
        <w:t>P</w:t>
      </w:r>
      <w:r w:rsidR="005F3452">
        <w:rPr>
          <w:rFonts w:cstheme="minorHAnsi"/>
          <w:sz w:val="24"/>
          <w:szCs w:val="24"/>
        </w:rPr>
        <w:t xml:space="preserve">lan. </w:t>
      </w:r>
    </w:p>
    <w:p w14:paraId="13A8641F" w14:textId="3C33F957" w:rsidR="00B05824" w:rsidRPr="006A629F" w:rsidRDefault="00C30886" w:rsidP="005F3452">
      <w:pPr>
        <w:ind w:left="720" w:hanging="720"/>
        <w:rPr>
          <w:rFonts w:eastAsia="Times New Roman" w:cstheme="minorHAnsi"/>
          <w:b/>
          <w:sz w:val="24"/>
          <w:szCs w:val="24"/>
        </w:rPr>
      </w:pPr>
      <w:r w:rsidRPr="00C30886">
        <w:rPr>
          <w:rFonts w:cstheme="minorHAnsi"/>
          <w:sz w:val="24"/>
          <w:szCs w:val="24"/>
        </w:rPr>
        <w:t xml:space="preserve"> </w:t>
      </w:r>
      <w:r w:rsidR="005F3452" w:rsidRPr="006A629F">
        <w:rPr>
          <w:rFonts w:cstheme="minorHAnsi"/>
          <w:sz w:val="24"/>
          <w:szCs w:val="24"/>
        </w:rPr>
        <w:t>2.</w:t>
      </w:r>
      <w:r w:rsidR="004463F8">
        <w:rPr>
          <w:rFonts w:cstheme="minorHAnsi"/>
          <w:sz w:val="24"/>
          <w:szCs w:val="24"/>
        </w:rPr>
        <w:t>3</w:t>
      </w:r>
      <w:r w:rsidR="005F3452" w:rsidRPr="006A629F">
        <w:rPr>
          <w:rFonts w:cstheme="minorHAnsi"/>
          <w:sz w:val="24"/>
          <w:szCs w:val="24"/>
        </w:rPr>
        <w:tab/>
      </w:r>
      <w:r w:rsidR="005F3452" w:rsidRPr="005F3452">
        <w:rPr>
          <w:rFonts w:cstheme="minorHAnsi"/>
          <w:sz w:val="24"/>
          <w:szCs w:val="24"/>
        </w:rPr>
        <w:t xml:space="preserve">As the </w:t>
      </w:r>
      <w:r w:rsidR="005F3452">
        <w:rPr>
          <w:rFonts w:cstheme="minorHAnsi"/>
          <w:sz w:val="24"/>
          <w:szCs w:val="24"/>
        </w:rPr>
        <w:t>Well-being P</w:t>
      </w:r>
      <w:r w:rsidR="005F3452" w:rsidRPr="005F3452">
        <w:rPr>
          <w:rFonts w:cstheme="minorHAnsi"/>
          <w:sz w:val="24"/>
          <w:szCs w:val="24"/>
        </w:rPr>
        <w:t xml:space="preserve">lan </w:t>
      </w:r>
      <w:r w:rsidR="005F3452">
        <w:rPr>
          <w:rFonts w:cstheme="minorHAnsi"/>
          <w:sz w:val="24"/>
          <w:szCs w:val="24"/>
        </w:rPr>
        <w:t xml:space="preserve">and </w:t>
      </w:r>
      <w:r w:rsidR="005F3452" w:rsidRPr="005F3452">
        <w:rPr>
          <w:rFonts w:cstheme="minorHAnsi"/>
          <w:sz w:val="24"/>
          <w:szCs w:val="24"/>
        </w:rPr>
        <w:t xml:space="preserve">Building a Fairer Gwent </w:t>
      </w:r>
      <w:r w:rsidR="005F3452">
        <w:rPr>
          <w:rFonts w:cstheme="minorHAnsi"/>
          <w:sz w:val="24"/>
          <w:szCs w:val="24"/>
        </w:rPr>
        <w:t xml:space="preserve">report </w:t>
      </w:r>
      <w:r w:rsidR="005F3452" w:rsidRPr="005F3452">
        <w:rPr>
          <w:rFonts w:cstheme="minorHAnsi"/>
          <w:sz w:val="24"/>
          <w:szCs w:val="24"/>
        </w:rPr>
        <w:t>ha</w:t>
      </w:r>
      <w:r w:rsidR="005F3452">
        <w:rPr>
          <w:rFonts w:cstheme="minorHAnsi"/>
          <w:sz w:val="24"/>
          <w:szCs w:val="24"/>
        </w:rPr>
        <w:t xml:space="preserve">ve been developed </w:t>
      </w:r>
      <w:r w:rsidR="005F3452" w:rsidRPr="005F3452">
        <w:rPr>
          <w:rFonts w:cstheme="minorHAnsi"/>
          <w:sz w:val="24"/>
          <w:szCs w:val="24"/>
        </w:rPr>
        <w:t xml:space="preserve">delivery plans have started to be discussed and debated by PSB members. This now creates an imperative to </w:t>
      </w:r>
      <w:r w:rsidR="005F3452">
        <w:rPr>
          <w:rFonts w:cstheme="minorHAnsi"/>
          <w:sz w:val="24"/>
          <w:szCs w:val="24"/>
        </w:rPr>
        <w:t xml:space="preserve">identify </w:t>
      </w:r>
      <w:r w:rsidR="005F3452" w:rsidRPr="005F3452">
        <w:rPr>
          <w:rFonts w:cstheme="minorHAnsi"/>
          <w:sz w:val="24"/>
          <w:szCs w:val="24"/>
        </w:rPr>
        <w:t>collaborative activity to deliver the</w:t>
      </w:r>
      <w:r w:rsidR="005F3452">
        <w:rPr>
          <w:rFonts w:cstheme="minorHAnsi"/>
          <w:sz w:val="24"/>
          <w:szCs w:val="24"/>
        </w:rPr>
        <w:t>se plans.</w:t>
      </w:r>
      <w:r w:rsidR="005F3452" w:rsidRPr="005F3452">
        <w:rPr>
          <w:rFonts w:cstheme="minorHAnsi"/>
          <w:sz w:val="24"/>
          <w:szCs w:val="24"/>
        </w:rPr>
        <w:t xml:space="preserve"> </w:t>
      </w:r>
    </w:p>
    <w:p w14:paraId="16CB0337" w14:textId="3750B344" w:rsidR="00AA28D0" w:rsidRPr="006A629F" w:rsidRDefault="00B05824" w:rsidP="00952023">
      <w:pPr>
        <w:spacing w:after="0" w:line="240" w:lineRule="auto"/>
        <w:ind w:left="720" w:hanging="720"/>
        <w:rPr>
          <w:rFonts w:eastAsia="Times New Roman" w:cstheme="minorHAnsi"/>
          <w:b/>
          <w:sz w:val="24"/>
          <w:szCs w:val="24"/>
        </w:rPr>
      </w:pPr>
      <w:r w:rsidRPr="006A629F">
        <w:rPr>
          <w:rFonts w:eastAsia="Times New Roman" w:cstheme="minorHAnsi"/>
          <w:b/>
          <w:sz w:val="24"/>
          <w:szCs w:val="24"/>
        </w:rPr>
        <w:t xml:space="preserve">3. </w:t>
      </w:r>
      <w:r w:rsidRPr="006A629F">
        <w:rPr>
          <w:rFonts w:eastAsia="Times New Roman" w:cstheme="minorHAnsi"/>
          <w:b/>
          <w:sz w:val="24"/>
          <w:szCs w:val="24"/>
        </w:rPr>
        <w:tab/>
        <w:t>KEY ISSUES</w:t>
      </w:r>
    </w:p>
    <w:p w14:paraId="0547011E" w14:textId="77777777" w:rsidR="00AA28D0" w:rsidRPr="006A629F" w:rsidRDefault="00AA28D0" w:rsidP="00952023">
      <w:pPr>
        <w:spacing w:after="0" w:line="240" w:lineRule="auto"/>
        <w:ind w:left="709" w:hanging="709"/>
        <w:rPr>
          <w:rFonts w:cstheme="minorHAnsi"/>
          <w:sz w:val="24"/>
          <w:szCs w:val="24"/>
        </w:rPr>
      </w:pPr>
    </w:p>
    <w:p w14:paraId="7164FFBB" w14:textId="0D2F39AB" w:rsidR="00FD1A2C" w:rsidRDefault="005233FB" w:rsidP="00952023">
      <w:pPr>
        <w:pStyle w:val="ListParagraph"/>
        <w:numPr>
          <w:ilvl w:val="1"/>
          <w:numId w:val="39"/>
        </w:numPr>
        <w:ind w:left="720" w:hanging="720"/>
        <w:rPr>
          <w:rFonts w:cstheme="minorHAnsi"/>
          <w:sz w:val="24"/>
          <w:szCs w:val="24"/>
        </w:rPr>
      </w:pPr>
      <w:r w:rsidRPr="006A629F">
        <w:rPr>
          <w:rFonts w:cstheme="minorHAnsi"/>
          <w:sz w:val="24"/>
          <w:szCs w:val="24"/>
        </w:rPr>
        <w:t xml:space="preserve">The Gwent Wellbeing plan sets out what the Gwent PSB intends to achieve through the delivery of its wellbeing objectives. The PSB </w:t>
      </w:r>
      <w:r w:rsidR="005F3452">
        <w:rPr>
          <w:rFonts w:cstheme="minorHAnsi"/>
          <w:sz w:val="24"/>
          <w:szCs w:val="24"/>
        </w:rPr>
        <w:t xml:space="preserve">has collaboratively been </w:t>
      </w:r>
      <w:r w:rsidRPr="006A629F">
        <w:rPr>
          <w:rFonts w:cstheme="minorHAnsi"/>
          <w:sz w:val="24"/>
          <w:szCs w:val="24"/>
        </w:rPr>
        <w:t xml:space="preserve">agreeing </w:t>
      </w:r>
      <w:r w:rsidR="005F3452">
        <w:rPr>
          <w:rFonts w:cstheme="minorHAnsi"/>
          <w:sz w:val="24"/>
          <w:szCs w:val="24"/>
        </w:rPr>
        <w:t xml:space="preserve">areas </w:t>
      </w:r>
      <w:r w:rsidRPr="006A629F">
        <w:rPr>
          <w:rFonts w:cstheme="minorHAnsi"/>
          <w:sz w:val="24"/>
          <w:szCs w:val="24"/>
        </w:rPr>
        <w:t xml:space="preserve">it needs to </w:t>
      </w:r>
      <w:r w:rsidR="005F3452">
        <w:rPr>
          <w:rFonts w:cstheme="minorHAnsi"/>
          <w:sz w:val="24"/>
          <w:szCs w:val="24"/>
        </w:rPr>
        <w:t>focus on</w:t>
      </w:r>
      <w:r w:rsidRPr="006A629F">
        <w:rPr>
          <w:rFonts w:cstheme="minorHAnsi"/>
          <w:sz w:val="24"/>
          <w:szCs w:val="24"/>
        </w:rPr>
        <w:t xml:space="preserve"> to </w:t>
      </w:r>
      <w:r w:rsidR="006A629F" w:rsidRPr="006A629F">
        <w:rPr>
          <w:rFonts w:cstheme="minorHAnsi"/>
          <w:sz w:val="24"/>
          <w:szCs w:val="24"/>
        </w:rPr>
        <w:t>deliver</w:t>
      </w:r>
      <w:r w:rsidRPr="006A629F">
        <w:rPr>
          <w:rFonts w:cstheme="minorHAnsi"/>
          <w:sz w:val="24"/>
          <w:szCs w:val="24"/>
        </w:rPr>
        <w:t xml:space="preserve"> these objectives</w:t>
      </w:r>
      <w:r w:rsidR="00FD1A2C">
        <w:rPr>
          <w:rFonts w:cstheme="minorHAnsi"/>
          <w:sz w:val="24"/>
          <w:szCs w:val="24"/>
        </w:rPr>
        <w:t>.</w:t>
      </w:r>
      <w:r w:rsidR="00FD1A2C" w:rsidRPr="00FD1A2C">
        <w:t xml:space="preserve"> </w:t>
      </w:r>
      <w:r w:rsidR="00FD1A2C" w:rsidRPr="00FD1A2C">
        <w:rPr>
          <w:rFonts w:cstheme="minorHAnsi"/>
          <w:sz w:val="24"/>
          <w:szCs w:val="24"/>
        </w:rPr>
        <w:t xml:space="preserve">Further consideration of the evidence from the Well-being assessment and with a focus on the things that only the PSB can do; </w:t>
      </w:r>
      <w:r w:rsidR="00FD1A2C">
        <w:rPr>
          <w:rFonts w:cstheme="minorHAnsi"/>
          <w:sz w:val="24"/>
          <w:szCs w:val="24"/>
        </w:rPr>
        <w:t>four</w:t>
      </w:r>
      <w:r w:rsidR="00FD1A2C" w:rsidRPr="00FD1A2C">
        <w:rPr>
          <w:rFonts w:cstheme="minorHAnsi"/>
          <w:sz w:val="24"/>
          <w:szCs w:val="24"/>
        </w:rPr>
        <w:t xml:space="preserve"> </w:t>
      </w:r>
      <w:r w:rsidR="00344579">
        <w:rPr>
          <w:rFonts w:cstheme="minorHAnsi"/>
          <w:sz w:val="24"/>
          <w:szCs w:val="24"/>
        </w:rPr>
        <w:t>at scale areas of focus have been</w:t>
      </w:r>
      <w:r w:rsidR="00FD1A2C">
        <w:rPr>
          <w:rFonts w:cstheme="minorHAnsi"/>
          <w:sz w:val="24"/>
          <w:szCs w:val="24"/>
        </w:rPr>
        <w:t xml:space="preserve"> </w:t>
      </w:r>
      <w:proofErr w:type="gramStart"/>
      <w:r w:rsidR="00FD1A2C" w:rsidRPr="00FD1A2C">
        <w:rPr>
          <w:rFonts w:cstheme="minorHAnsi"/>
          <w:sz w:val="24"/>
          <w:szCs w:val="24"/>
        </w:rPr>
        <w:t>identified;</w:t>
      </w:r>
      <w:proofErr w:type="gramEnd"/>
      <w:r w:rsidR="00FD1A2C" w:rsidRPr="00FD1A2C">
        <w:rPr>
          <w:rFonts w:cstheme="minorHAnsi"/>
          <w:sz w:val="24"/>
          <w:szCs w:val="24"/>
        </w:rPr>
        <w:t xml:space="preserve"> </w:t>
      </w:r>
    </w:p>
    <w:p w14:paraId="47037A65" w14:textId="77777777" w:rsidR="009D57B2" w:rsidRDefault="009D57B2" w:rsidP="009D57B2">
      <w:pPr>
        <w:pStyle w:val="ListParagraph"/>
        <w:rPr>
          <w:rFonts w:cstheme="minorHAnsi"/>
          <w:sz w:val="24"/>
          <w:szCs w:val="24"/>
        </w:rPr>
      </w:pPr>
    </w:p>
    <w:p w14:paraId="64FB10CB" w14:textId="77777777" w:rsidR="00FD1A2C" w:rsidRPr="00FD1A2C" w:rsidRDefault="00FD1A2C" w:rsidP="00FD1A2C">
      <w:pPr>
        <w:pStyle w:val="ListParagraph"/>
        <w:rPr>
          <w:rFonts w:cstheme="minorHAnsi"/>
          <w:sz w:val="24"/>
          <w:szCs w:val="24"/>
        </w:rPr>
      </w:pPr>
      <w:r w:rsidRPr="00FD1A2C">
        <w:rPr>
          <w:rFonts w:cstheme="minorHAnsi"/>
          <w:sz w:val="24"/>
          <w:szCs w:val="24"/>
        </w:rPr>
        <w:t>•</w:t>
      </w:r>
      <w:r w:rsidRPr="00FD1A2C">
        <w:rPr>
          <w:rFonts w:cstheme="minorHAnsi"/>
          <w:sz w:val="24"/>
          <w:szCs w:val="24"/>
        </w:rPr>
        <w:tab/>
        <w:t>That every child has the best start in life</w:t>
      </w:r>
    </w:p>
    <w:p w14:paraId="0EC01849" w14:textId="77777777" w:rsidR="00FD1A2C" w:rsidRPr="00FD1A2C" w:rsidRDefault="00FD1A2C" w:rsidP="00FD1A2C">
      <w:pPr>
        <w:pStyle w:val="ListParagraph"/>
        <w:rPr>
          <w:rFonts w:cstheme="minorHAnsi"/>
          <w:sz w:val="24"/>
          <w:szCs w:val="24"/>
        </w:rPr>
      </w:pPr>
      <w:r w:rsidRPr="00FD1A2C">
        <w:rPr>
          <w:rFonts w:cstheme="minorHAnsi"/>
          <w:sz w:val="24"/>
          <w:szCs w:val="24"/>
        </w:rPr>
        <w:t>•</w:t>
      </w:r>
      <w:r w:rsidRPr="00FD1A2C">
        <w:rPr>
          <w:rFonts w:cstheme="minorHAnsi"/>
          <w:sz w:val="24"/>
          <w:szCs w:val="24"/>
        </w:rPr>
        <w:tab/>
        <w:t>That everyone lives in a place they feel safe</w:t>
      </w:r>
    </w:p>
    <w:p w14:paraId="7A706881" w14:textId="70367150" w:rsidR="00FD1A2C" w:rsidRPr="00FD1A2C" w:rsidRDefault="00FD1A2C" w:rsidP="00FD1A2C">
      <w:pPr>
        <w:pStyle w:val="ListParagraph"/>
        <w:rPr>
          <w:rFonts w:cstheme="minorHAnsi"/>
          <w:sz w:val="24"/>
          <w:szCs w:val="24"/>
        </w:rPr>
      </w:pPr>
      <w:r w:rsidRPr="00FD1A2C">
        <w:rPr>
          <w:rFonts w:cstheme="minorHAnsi"/>
          <w:sz w:val="24"/>
          <w:szCs w:val="24"/>
        </w:rPr>
        <w:t>•</w:t>
      </w:r>
      <w:r w:rsidRPr="00FD1A2C">
        <w:rPr>
          <w:rFonts w:cstheme="minorHAnsi"/>
          <w:sz w:val="24"/>
          <w:szCs w:val="24"/>
        </w:rPr>
        <w:tab/>
        <w:t xml:space="preserve">That everyone has the same economic chances </w:t>
      </w:r>
    </w:p>
    <w:p w14:paraId="51EB9369" w14:textId="69F5721B" w:rsidR="00FD1A2C" w:rsidRDefault="00FD1A2C" w:rsidP="00FD1A2C">
      <w:pPr>
        <w:pStyle w:val="ListParagraph"/>
        <w:rPr>
          <w:rFonts w:cstheme="minorHAnsi"/>
          <w:sz w:val="24"/>
          <w:szCs w:val="24"/>
        </w:rPr>
      </w:pPr>
      <w:r w:rsidRPr="00FD1A2C">
        <w:rPr>
          <w:rFonts w:cstheme="minorHAnsi"/>
          <w:sz w:val="24"/>
          <w:szCs w:val="24"/>
        </w:rPr>
        <w:t>•</w:t>
      </w:r>
      <w:r w:rsidRPr="00FD1A2C">
        <w:rPr>
          <w:rFonts w:cstheme="minorHAnsi"/>
          <w:sz w:val="24"/>
          <w:szCs w:val="24"/>
        </w:rPr>
        <w:tab/>
        <w:t xml:space="preserve">That everyone lives in a </w:t>
      </w:r>
      <w:r w:rsidR="00E90CC8">
        <w:rPr>
          <w:rFonts w:cstheme="minorHAnsi"/>
          <w:sz w:val="24"/>
          <w:szCs w:val="24"/>
        </w:rPr>
        <w:t xml:space="preserve">climate-ready </w:t>
      </w:r>
      <w:r w:rsidRPr="00FD1A2C">
        <w:rPr>
          <w:rFonts w:cstheme="minorHAnsi"/>
          <w:sz w:val="24"/>
          <w:szCs w:val="24"/>
        </w:rPr>
        <w:t>community where their environment is valued and protected</w:t>
      </w:r>
    </w:p>
    <w:p w14:paraId="00119562" w14:textId="77777777" w:rsidR="00FD1A2C" w:rsidRDefault="00FD1A2C" w:rsidP="00FD1A2C">
      <w:pPr>
        <w:pStyle w:val="ListParagraph"/>
        <w:rPr>
          <w:rFonts w:cstheme="minorHAnsi"/>
          <w:sz w:val="24"/>
          <w:szCs w:val="24"/>
        </w:rPr>
      </w:pPr>
    </w:p>
    <w:p w14:paraId="36595965" w14:textId="33D1012F" w:rsidR="004463F8" w:rsidRDefault="004463F8" w:rsidP="00FD1A2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an additional ask by PSB to</w:t>
      </w:r>
      <w:r w:rsidR="00032ECC">
        <w:rPr>
          <w:rFonts w:cstheme="minorHAnsi"/>
          <w:sz w:val="24"/>
          <w:szCs w:val="24"/>
        </w:rPr>
        <w:t xml:space="preserve"> map</w:t>
      </w:r>
      <w:r>
        <w:rPr>
          <w:rFonts w:cstheme="minorHAnsi"/>
          <w:sz w:val="24"/>
          <w:szCs w:val="24"/>
        </w:rPr>
        <w:t xml:space="preserve"> current </w:t>
      </w:r>
      <w:r w:rsidR="00032ECC">
        <w:rPr>
          <w:rFonts w:cstheme="minorHAnsi"/>
          <w:sz w:val="24"/>
          <w:szCs w:val="24"/>
        </w:rPr>
        <w:t>delivery structures as part of this process.</w:t>
      </w:r>
    </w:p>
    <w:p w14:paraId="7034D887" w14:textId="742725E3" w:rsidR="00A84024" w:rsidRPr="006A629F" w:rsidRDefault="00FD1A2C" w:rsidP="00FD1A2C">
      <w:pPr>
        <w:pStyle w:val="ListParagraph"/>
        <w:rPr>
          <w:rFonts w:cstheme="minorHAnsi"/>
          <w:sz w:val="24"/>
          <w:szCs w:val="24"/>
        </w:rPr>
      </w:pPr>
      <w:r w:rsidRPr="00FD1A2C">
        <w:rPr>
          <w:rFonts w:cstheme="minorHAnsi"/>
          <w:sz w:val="24"/>
          <w:szCs w:val="24"/>
        </w:rPr>
        <w:t xml:space="preserve">In addition, there </w:t>
      </w:r>
      <w:r>
        <w:rPr>
          <w:rFonts w:cstheme="minorHAnsi"/>
          <w:sz w:val="24"/>
          <w:szCs w:val="24"/>
        </w:rPr>
        <w:t>is a commitment to</w:t>
      </w:r>
      <w:r w:rsidRPr="00FD1A2C">
        <w:rPr>
          <w:rFonts w:cstheme="minorHAnsi"/>
          <w:sz w:val="24"/>
          <w:szCs w:val="24"/>
        </w:rPr>
        <w:t xml:space="preserve"> embed the Marmot principles and the recommendations for Gwent, presented to the PSB by the Institute of Health Equity</w:t>
      </w:r>
      <w:r>
        <w:rPr>
          <w:rFonts w:cstheme="minorHAnsi"/>
          <w:sz w:val="24"/>
          <w:szCs w:val="24"/>
        </w:rPr>
        <w:t xml:space="preserve"> through this work</w:t>
      </w:r>
      <w:r w:rsidR="00032ECC">
        <w:rPr>
          <w:rFonts w:cstheme="minorHAnsi"/>
          <w:sz w:val="24"/>
          <w:szCs w:val="24"/>
        </w:rPr>
        <w:t>.</w:t>
      </w:r>
    </w:p>
    <w:p w14:paraId="7646423D" w14:textId="526BB625" w:rsidR="005233FB" w:rsidRPr="006A629F" w:rsidRDefault="000D6AF5" w:rsidP="00952023">
      <w:pPr>
        <w:ind w:left="720" w:hanging="720"/>
        <w:rPr>
          <w:rFonts w:cstheme="minorHAnsi"/>
          <w:sz w:val="24"/>
          <w:szCs w:val="24"/>
        </w:rPr>
      </w:pPr>
      <w:r w:rsidRPr="006A629F">
        <w:rPr>
          <w:rFonts w:cstheme="minorHAnsi"/>
          <w:sz w:val="24"/>
          <w:szCs w:val="24"/>
        </w:rPr>
        <w:t>3.</w:t>
      </w:r>
      <w:r w:rsidR="00A84024" w:rsidRPr="006A629F">
        <w:rPr>
          <w:rFonts w:cstheme="minorHAnsi"/>
          <w:sz w:val="24"/>
          <w:szCs w:val="24"/>
        </w:rPr>
        <w:t>3</w:t>
      </w:r>
      <w:r w:rsidR="00FD1A2C">
        <w:rPr>
          <w:rFonts w:cstheme="minorHAnsi"/>
          <w:sz w:val="24"/>
          <w:szCs w:val="24"/>
        </w:rPr>
        <w:t xml:space="preserve">       T</w:t>
      </w:r>
      <w:r w:rsidR="002D29D2">
        <w:rPr>
          <w:sz w:val="24"/>
          <w:szCs w:val="24"/>
        </w:rPr>
        <w:t>hese</w:t>
      </w:r>
      <w:r w:rsidR="005233FB" w:rsidRPr="006A629F">
        <w:rPr>
          <w:rFonts w:cstheme="minorHAnsi"/>
          <w:sz w:val="24"/>
          <w:szCs w:val="24"/>
        </w:rPr>
        <w:t xml:space="preserve"> </w:t>
      </w:r>
      <w:r w:rsidR="00344579">
        <w:rPr>
          <w:rFonts w:cstheme="minorHAnsi"/>
          <w:sz w:val="24"/>
          <w:szCs w:val="24"/>
        </w:rPr>
        <w:t>at scale areas of focus</w:t>
      </w:r>
      <w:r w:rsidR="005233FB" w:rsidRPr="006A629F">
        <w:rPr>
          <w:rFonts w:cstheme="minorHAnsi"/>
          <w:sz w:val="24"/>
          <w:szCs w:val="24"/>
        </w:rPr>
        <w:t xml:space="preserve"> will </w:t>
      </w:r>
      <w:r w:rsidR="002D29D2">
        <w:rPr>
          <w:rFonts w:cstheme="minorHAnsi"/>
          <w:sz w:val="24"/>
          <w:szCs w:val="24"/>
        </w:rPr>
        <w:t xml:space="preserve">help </w:t>
      </w:r>
      <w:r w:rsidR="005233FB" w:rsidRPr="006A629F">
        <w:rPr>
          <w:rFonts w:cstheme="minorHAnsi"/>
          <w:sz w:val="24"/>
          <w:szCs w:val="24"/>
        </w:rPr>
        <w:t>shape the</w:t>
      </w:r>
      <w:r w:rsidR="001B0A7C" w:rsidRPr="006A629F">
        <w:rPr>
          <w:rFonts w:cstheme="minorHAnsi"/>
          <w:sz w:val="24"/>
          <w:szCs w:val="24"/>
        </w:rPr>
        <w:t xml:space="preserve"> development of</w:t>
      </w:r>
      <w:r w:rsidR="005233FB" w:rsidRPr="006A629F">
        <w:rPr>
          <w:rFonts w:cstheme="minorHAnsi"/>
          <w:sz w:val="24"/>
          <w:szCs w:val="24"/>
        </w:rPr>
        <w:t xml:space="preserve"> delivery plans for each step. Th</w:t>
      </w:r>
      <w:r w:rsidR="00F5433A" w:rsidRPr="006A629F">
        <w:rPr>
          <w:rFonts w:cstheme="minorHAnsi"/>
          <w:sz w:val="24"/>
          <w:szCs w:val="24"/>
        </w:rPr>
        <w:t>ese</w:t>
      </w:r>
      <w:r w:rsidR="005233FB" w:rsidRPr="006A629F">
        <w:rPr>
          <w:rFonts w:cstheme="minorHAnsi"/>
          <w:sz w:val="24"/>
          <w:szCs w:val="24"/>
        </w:rPr>
        <w:t xml:space="preserve"> will </w:t>
      </w:r>
      <w:r w:rsidR="00F5433A" w:rsidRPr="006A629F">
        <w:rPr>
          <w:rFonts w:cstheme="minorHAnsi"/>
          <w:sz w:val="24"/>
          <w:szCs w:val="24"/>
        </w:rPr>
        <w:t>include a</w:t>
      </w:r>
      <w:r w:rsidR="005233FB" w:rsidRPr="006A629F">
        <w:rPr>
          <w:rFonts w:cstheme="minorHAnsi"/>
          <w:sz w:val="24"/>
          <w:szCs w:val="24"/>
        </w:rPr>
        <w:t xml:space="preserve"> mix of:</w:t>
      </w:r>
    </w:p>
    <w:p w14:paraId="00682556" w14:textId="386E582A" w:rsidR="005233FB" w:rsidRDefault="005233FB" w:rsidP="00952023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5233FB">
        <w:rPr>
          <w:rFonts w:cstheme="minorHAnsi"/>
          <w:b/>
          <w:bCs/>
          <w:sz w:val="24"/>
          <w:szCs w:val="24"/>
        </w:rPr>
        <w:t>Regional collaborative activity</w:t>
      </w:r>
      <w:r w:rsidRPr="005233FB">
        <w:rPr>
          <w:rFonts w:cstheme="minorHAnsi"/>
          <w:sz w:val="24"/>
          <w:szCs w:val="24"/>
        </w:rPr>
        <w:t xml:space="preserve"> - To be overseen and shaped by the PSB. Many of the issues highlighted in the well-being assessment are complex challenges that are too big for any one organisation to tackle in isolation.  They need a partnership approach and the value added that comes from acting at scale</w:t>
      </w:r>
      <w:r w:rsidR="00612DD2">
        <w:rPr>
          <w:rFonts w:cstheme="minorHAnsi"/>
          <w:sz w:val="24"/>
          <w:szCs w:val="24"/>
        </w:rPr>
        <w:t>.</w:t>
      </w:r>
      <w:r w:rsidR="00344579">
        <w:rPr>
          <w:rFonts w:cstheme="minorHAnsi"/>
          <w:sz w:val="24"/>
          <w:szCs w:val="24"/>
        </w:rPr>
        <w:t xml:space="preserve"> It is expected that the four at scale areas of focus are led at this level.</w:t>
      </w:r>
    </w:p>
    <w:p w14:paraId="51B03921" w14:textId="7762C623" w:rsidR="00FD1A2C" w:rsidRPr="00FD1A2C" w:rsidRDefault="00FD1A2C" w:rsidP="00FD1A2C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D1A2C">
        <w:rPr>
          <w:rFonts w:cstheme="minorHAnsi"/>
          <w:b/>
          <w:bCs/>
          <w:sz w:val="24"/>
          <w:szCs w:val="24"/>
        </w:rPr>
        <w:t>Sub regional activity</w:t>
      </w:r>
      <w:r w:rsidRPr="00FD1A2C">
        <w:rPr>
          <w:rFonts w:cstheme="minorHAnsi"/>
          <w:sz w:val="24"/>
          <w:szCs w:val="24"/>
        </w:rPr>
        <w:t xml:space="preserve"> –</w:t>
      </w:r>
      <w:r w:rsidRPr="00FD1A2C">
        <w:t xml:space="preserve"> </w:t>
      </w:r>
      <w:r w:rsidRPr="00FD1A2C">
        <w:rPr>
          <w:rFonts w:cstheme="minorHAnsi"/>
          <w:sz w:val="24"/>
          <w:szCs w:val="24"/>
        </w:rPr>
        <w:t>To be overseen</w:t>
      </w:r>
      <w:r>
        <w:rPr>
          <w:rFonts w:cstheme="minorHAnsi"/>
          <w:sz w:val="24"/>
          <w:szCs w:val="24"/>
        </w:rPr>
        <w:t xml:space="preserve"> and shaped</w:t>
      </w:r>
      <w:r w:rsidRPr="00FD1A2C">
        <w:rPr>
          <w:rFonts w:cstheme="minorHAnsi"/>
          <w:sz w:val="24"/>
          <w:szCs w:val="24"/>
        </w:rPr>
        <w:t xml:space="preserve"> by </w:t>
      </w:r>
      <w:r>
        <w:rPr>
          <w:rFonts w:cstheme="minorHAnsi"/>
          <w:sz w:val="24"/>
          <w:szCs w:val="24"/>
        </w:rPr>
        <w:t xml:space="preserve">either the PSB or </w:t>
      </w:r>
      <w:r w:rsidRPr="00FD1A2C">
        <w:rPr>
          <w:rFonts w:cstheme="minorHAnsi"/>
          <w:sz w:val="24"/>
          <w:szCs w:val="24"/>
        </w:rPr>
        <w:t>local delivery groups driven by two or more partners</w:t>
      </w:r>
      <w:r>
        <w:rPr>
          <w:rFonts w:cstheme="minorHAnsi"/>
          <w:sz w:val="24"/>
          <w:szCs w:val="24"/>
        </w:rPr>
        <w:t>. This will include</w:t>
      </w:r>
      <w:r w:rsidRPr="00FD1A2C">
        <w:rPr>
          <w:rFonts w:cstheme="minorHAnsi"/>
          <w:sz w:val="24"/>
          <w:szCs w:val="24"/>
        </w:rPr>
        <w:t xml:space="preserve"> collaborative activity on issues which may be felt acutely in more</w:t>
      </w:r>
      <w:r>
        <w:rPr>
          <w:rFonts w:cstheme="minorHAnsi"/>
          <w:sz w:val="24"/>
          <w:szCs w:val="24"/>
        </w:rPr>
        <w:t xml:space="preserve"> than one</w:t>
      </w:r>
      <w:r w:rsidRPr="00FD1A2C">
        <w:rPr>
          <w:rFonts w:cstheme="minorHAnsi"/>
          <w:sz w:val="24"/>
          <w:szCs w:val="24"/>
        </w:rPr>
        <w:t xml:space="preserve"> local authority area but </w:t>
      </w:r>
      <w:r>
        <w:rPr>
          <w:rFonts w:cstheme="minorHAnsi"/>
          <w:sz w:val="24"/>
          <w:szCs w:val="24"/>
        </w:rPr>
        <w:t>may not</w:t>
      </w:r>
      <w:r w:rsidRPr="00FD1A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 </w:t>
      </w:r>
      <w:r w:rsidRPr="00FD1A2C">
        <w:rPr>
          <w:rFonts w:cstheme="minorHAnsi"/>
          <w:sz w:val="24"/>
          <w:szCs w:val="24"/>
        </w:rPr>
        <w:t>priorities</w:t>
      </w:r>
      <w:r>
        <w:rPr>
          <w:rFonts w:cstheme="minorHAnsi"/>
          <w:sz w:val="24"/>
          <w:szCs w:val="24"/>
        </w:rPr>
        <w:t xml:space="preserve"> across all of</w:t>
      </w:r>
      <w:r w:rsidRPr="00FD1A2C">
        <w:rPr>
          <w:rFonts w:cstheme="minorHAnsi"/>
          <w:sz w:val="24"/>
          <w:szCs w:val="24"/>
        </w:rPr>
        <w:t xml:space="preserve"> Gwent.</w:t>
      </w:r>
    </w:p>
    <w:p w14:paraId="366CFB6E" w14:textId="53ADA6B9" w:rsidR="005233FB" w:rsidRPr="005233FB" w:rsidRDefault="005233FB" w:rsidP="00952023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5233FB">
        <w:rPr>
          <w:rFonts w:cstheme="minorHAnsi"/>
          <w:b/>
          <w:bCs/>
          <w:sz w:val="24"/>
          <w:szCs w:val="24"/>
        </w:rPr>
        <w:t>Local activity -</w:t>
      </w:r>
      <w:r w:rsidRPr="005233FB">
        <w:rPr>
          <w:rFonts w:cstheme="minorHAnsi"/>
          <w:sz w:val="24"/>
          <w:szCs w:val="24"/>
        </w:rPr>
        <w:t xml:space="preserve"> To be overseen by local delivery groups</w:t>
      </w:r>
      <w:r w:rsidR="00344579">
        <w:rPr>
          <w:rFonts w:cstheme="minorHAnsi"/>
          <w:sz w:val="24"/>
          <w:szCs w:val="24"/>
        </w:rPr>
        <w:t xml:space="preserve"> operating on each of the five local authority area footprints</w:t>
      </w:r>
      <w:r w:rsidRPr="005233FB">
        <w:rPr>
          <w:rFonts w:cstheme="minorHAnsi"/>
          <w:sz w:val="24"/>
          <w:szCs w:val="24"/>
        </w:rPr>
        <w:t>.  This will include i) local delivery of regional priorities, and ii) collaborative activity on issues which may be felt acutely in one local authority area but are not priorities at a Gwent level</w:t>
      </w:r>
      <w:r w:rsidR="00612DD2">
        <w:rPr>
          <w:rFonts w:cstheme="minorHAnsi"/>
          <w:sz w:val="24"/>
          <w:szCs w:val="24"/>
        </w:rPr>
        <w:t>.</w:t>
      </w:r>
    </w:p>
    <w:p w14:paraId="4678929C" w14:textId="73CDBA30" w:rsidR="00A84024" w:rsidRDefault="000D6AF5" w:rsidP="0095202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6A629F">
        <w:rPr>
          <w:rFonts w:cstheme="minorHAnsi"/>
          <w:sz w:val="24"/>
          <w:szCs w:val="24"/>
        </w:rPr>
        <w:t>3</w:t>
      </w:r>
      <w:r w:rsidR="005D5F28" w:rsidRPr="006A629F">
        <w:rPr>
          <w:rFonts w:cstheme="minorHAnsi"/>
          <w:sz w:val="24"/>
          <w:szCs w:val="24"/>
        </w:rPr>
        <w:t>.</w:t>
      </w:r>
      <w:r w:rsidR="00A84024" w:rsidRPr="006A629F">
        <w:rPr>
          <w:rFonts w:cstheme="minorHAnsi"/>
          <w:sz w:val="24"/>
          <w:szCs w:val="24"/>
        </w:rPr>
        <w:t>4</w:t>
      </w:r>
      <w:r w:rsidR="005D5F28" w:rsidRPr="006A629F">
        <w:rPr>
          <w:rFonts w:cstheme="minorHAnsi"/>
          <w:sz w:val="24"/>
          <w:szCs w:val="24"/>
        </w:rPr>
        <w:t xml:space="preserve"> </w:t>
      </w:r>
      <w:r w:rsidR="005D5F28" w:rsidRPr="006A629F">
        <w:rPr>
          <w:rFonts w:cstheme="minorHAnsi"/>
          <w:sz w:val="24"/>
          <w:szCs w:val="24"/>
        </w:rPr>
        <w:tab/>
      </w:r>
      <w:r w:rsidR="001B0A7C" w:rsidRPr="006A629F">
        <w:rPr>
          <w:rFonts w:cstheme="minorHAnsi"/>
          <w:sz w:val="24"/>
          <w:szCs w:val="24"/>
        </w:rPr>
        <w:t xml:space="preserve">To </w:t>
      </w:r>
      <w:r w:rsidR="009E7070">
        <w:rPr>
          <w:rFonts w:cstheme="minorHAnsi"/>
          <w:sz w:val="24"/>
          <w:szCs w:val="24"/>
        </w:rPr>
        <w:t>develop a clear set of options and recommendation for the PSB the</w:t>
      </w:r>
      <w:r w:rsidR="00BD352F">
        <w:rPr>
          <w:rFonts w:cstheme="minorHAnsi"/>
          <w:sz w:val="24"/>
          <w:szCs w:val="24"/>
        </w:rPr>
        <w:t xml:space="preserve">se </w:t>
      </w:r>
      <w:r w:rsidR="00344579">
        <w:rPr>
          <w:rFonts w:cstheme="minorHAnsi"/>
          <w:sz w:val="24"/>
          <w:szCs w:val="24"/>
        </w:rPr>
        <w:t>actions</w:t>
      </w:r>
      <w:r w:rsidR="00BD352F">
        <w:rPr>
          <w:rFonts w:cstheme="minorHAnsi"/>
          <w:sz w:val="24"/>
          <w:szCs w:val="24"/>
        </w:rPr>
        <w:t xml:space="preserve"> </w:t>
      </w:r>
      <w:r w:rsidR="009E7070">
        <w:rPr>
          <w:rFonts w:cstheme="minorHAnsi"/>
          <w:sz w:val="24"/>
          <w:szCs w:val="24"/>
        </w:rPr>
        <w:t>will be followed</w:t>
      </w:r>
      <w:r w:rsidR="00032ECC">
        <w:rPr>
          <w:rFonts w:cstheme="minorHAnsi"/>
          <w:sz w:val="24"/>
          <w:szCs w:val="24"/>
        </w:rPr>
        <w:t xml:space="preserve"> as requested by the PSB</w:t>
      </w:r>
      <w:r w:rsidR="00BD352F">
        <w:rPr>
          <w:rFonts w:cstheme="minorHAnsi"/>
          <w:sz w:val="24"/>
          <w:szCs w:val="24"/>
        </w:rPr>
        <w:t>:</w:t>
      </w:r>
      <w:r w:rsidR="009E7070">
        <w:rPr>
          <w:rFonts w:cstheme="minorHAnsi"/>
          <w:sz w:val="24"/>
          <w:szCs w:val="24"/>
        </w:rPr>
        <w:t xml:space="preserve"> </w:t>
      </w:r>
    </w:p>
    <w:p w14:paraId="4F6A6BC2" w14:textId="77777777" w:rsidR="00344579" w:rsidRDefault="00344579" w:rsidP="0095202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246FE42E" w14:textId="32278F60" w:rsidR="00344579" w:rsidRPr="00344579" w:rsidRDefault="00344579" w:rsidP="00344579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344579">
        <w:rPr>
          <w:rFonts w:cstheme="minorHAnsi"/>
          <w:sz w:val="24"/>
          <w:szCs w:val="24"/>
        </w:rPr>
        <w:t>Map the work that is already taking place locally and sub-regionally against the four at scale areas of focus</w:t>
      </w:r>
      <w:r w:rsidR="00067C5C">
        <w:rPr>
          <w:rFonts w:cstheme="minorHAnsi"/>
          <w:sz w:val="24"/>
          <w:szCs w:val="24"/>
        </w:rPr>
        <w:t xml:space="preserve"> (A matrix to capture and analyse the mapping has been developed).</w:t>
      </w:r>
    </w:p>
    <w:p w14:paraId="73917F37" w14:textId="5EE3B915" w:rsidR="00344579" w:rsidRPr="00344579" w:rsidRDefault="00344579" w:rsidP="00344579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344579">
        <w:rPr>
          <w:rFonts w:cstheme="minorHAnsi"/>
          <w:sz w:val="24"/>
          <w:szCs w:val="24"/>
        </w:rPr>
        <w:t xml:space="preserve">Identify opportunities for at scale actions against the four areas of focus using learning from the Well-being Plan and the recommendations in Building a Fairer Gwent.  </w:t>
      </w:r>
    </w:p>
    <w:p w14:paraId="2FCA5E43" w14:textId="78A24052" w:rsidR="00344579" w:rsidRPr="00344579" w:rsidRDefault="00344579" w:rsidP="00344579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344579">
        <w:rPr>
          <w:rFonts w:cstheme="minorHAnsi"/>
          <w:sz w:val="24"/>
          <w:szCs w:val="24"/>
        </w:rPr>
        <w:t>Identify the possible links with other regional boards and structures to meet the ambitions and priorities in Gwent.</w:t>
      </w:r>
    </w:p>
    <w:p w14:paraId="018EFECB" w14:textId="74610C81" w:rsidR="00344579" w:rsidRPr="00344579" w:rsidRDefault="00344579" w:rsidP="00344579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344579">
        <w:rPr>
          <w:rFonts w:cstheme="minorHAnsi"/>
          <w:sz w:val="24"/>
          <w:szCs w:val="24"/>
        </w:rPr>
        <w:t>Describe the arrangements required to deliver actions over the long term.</w:t>
      </w:r>
    </w:p>
    <w:p w14:paraId="734D4F92" w14:textId="6FE79DBD" w:rsidR="00344579" w:rsidRPr="00344579" w:rsidRDefault="00344579" w:rsidP="00344579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344579">
        <w:rPr>
          <w:rFonts w:cstheme="minorHAnsi"/>
          <w:sz w:val="24"/>
          <w:szCs w:val="24"/>
        </w:rPr>
        <w:t>Propose the governance arrangements for the PSB to effectively lead and assure itself about delivery of the Well-being Plan</w:t>
      </w:r>
      <w:r w:rsidR="006E1762">
        <w:rPr>
          <w:rFonts w:cstheme="minorHAnsi"/>
          <w:sz w:val="24"/>
          <w:szCs w:val="24"/>
        </w:rPr>
        <w:t xml:space="preserve"> </w:t>
      </w:r>
      <w:r w:rsidRPr="00344579">
        <w:rPr>
          <w:rFonts w:cstheme="minorHAnsi"/>
          <w:sz w:val="24"/>
          <w:szCs w:val="24"/>
        </w:rPr>
        <w:t xml:space="preserve">and Building a Fairer Gwent.  </w:t>
      </w:r>
    </w:p>
    <w:p w14:paraId="7E906B28" w14:textId="77777777" w:rsidR="00A84024" w:rsidRDefault="00A84024" w:rsidP="0095202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135E698C" w14:textId="49EF4B46" w:rsidR="00906595" w:rsidRPr="006A629F" w:rsidRDefault="004B5AD2" w:rsidP="00952023">
      <w:pPr>
        <w:spacing w:after="0" w:line="240" w:lineRule="auto"/>
        <w:ind w:left="720" w:hanging="720"/>
        <w:rPr>
          <w:rFonts w:eastAsia="Times New Roman" w:cstheme="minorHAnsi"/>
          <w:bCs/>
          <w:sz w:val="24"/>
          <w:szCs w:val="24"/>
        </w:rPr>
      </w:pPr>
      <w:r w:rsidRPr="006A629F">
        <w:rPr>
          <w:rFonts w:eastAsia="Times New Roman" w:cstheme="minorHAnsi"/>
          <w:bCs/>
          <w:sz w:val="24"/>
          <w:szCs w:val="24"/>
        </w:rPr>
        <w:t>3.</w:t>
      </w:r>
      <w:r>
        <w:rPr>
          <w:rFonts w:eastAsia="Times New Roman" w:cstheme="minorHAnsi"/>
          <w:bCs/>
          <w:sz w:val="24"/>
          <w:szCs w:val="24"/>
        </w:rPr>
        <w:t xml:space="preserve">5  </w:t>
      </w:r>
      <w:r w:rsidRPr="006A629F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    </w:t>
      </w:r>
      <w:r w:rsidRPr="0024608B">
        <w:rPr>
          <w:rFonts w:eastAsia="Times New Roman" w:cstheme="minorHAnsi"/>
          <w:bCs/>
          <w:sz w:val="24"/>
          <w:szCs w:val="24"/>
        </w:rPr>
        <w:t xml:space="preserve">These </w:t>
      </w:r>
      <w:r w:rsidR="00344579">
        <w:rPr>
          <w:rFonts w:eastAsia="Times New Roman" w:cstheme="minorHAnsi"/>
          <w:bCs/>
          <w:sz w:val="24"/>
          <w:szCs w:val="24"/>
        </w:rPr>
        <w:t>actions will be followed</w:t>
      </w:r>
      <w:r w:rsidRPr="0024608B">
        <w:rPr>
          <w:rFonts w:eastAsia="Times New Roman" w:cstheme="minorHAnsi"/>
          <w:bCs/>
          <w:sz w:val="24"/>
          <w:szCs w:val="24"/>
        </w:rPr>
        <w:t xml:space="preserve"> within the approach and timescales set out in Appendix 1. The</w:t>
      </w:r>
      <w:r>
        <w:rPr>
          <w:rFonts w:eastAsia="Times New Roman" w:cstheme="minorHAnsi"/>
          <w:bCs/>
          <w:sz w:val="24"/>
          <w:szCs w:val="24"/>
        </w:rPr>
        <w:t xml:space="preserve"> development </w:t>
      </w:r>
      <w:r w:rsidR="00344579">
        <w:rPr>
          <w:rFonts w:eastAsia="Times New Roman" w:cstheme="minorHAnsi"/>
          <w:bCs/>
          <w:sz w:val="24"/>
          <w:szCs w:val="24"/>
        </w:rPr>
        <w:t>of the areas of focus</w:t>
      </w:r>
      <w:r>
        <w:rPr>
          <w:rFonts w:eastAsia="Times New Roman" w:cstheme="minorHAnsi"/>
          <w:bCs/>
          <w:sz w:val="24"/>
          <w:szCs w:val="24"/>
        </w:rPr>
        <w:t xml:space="preserve"> is being led by </w:t>
      </w:r>
      <w:r w:rsidR="004463F8">
        <w:rPr>
          <w:rFonts w:eastAsia="Times New Roman" w:cstheme="minorHAnsi"/>
          <w:bCs/>
          <w:sz w:val="24"/>
          <w:szCs w:val="24"/>
        </w:rPr>
        <w:t>the governance group</w:t>
      </w:r>
      <w:r w:rsidR="00017A6E">
        <w:rPr>
          <w:rFonts w:eastAsia="Times New Roman" w:cstheme="minorHAnsi"/>
          <w:bCs/>
          <w:sz w:val="24"/>
          <w:szCs w:val="24"/>
        </w:rPr>
        <w:t xml:space="preserve"> </w:t>
      </w:r>
      <w:r w:rsidRPr="006A629F">
        <w:rPr>
          <w:rFonts w:eastAsia="Times New Roman" w:cstheme="minorHAnsi"/>
          <w:bCs/>
          <w:sz w:val="24"/>
          <w:szCs w:val="24"/>
        </w:rPr>
        <w:t xml:space="preserve">drawn from officers of GSWAG </w:t>
      </w:r>
      <w:r>
        <w:rPr>
          <w:rFonts w:eastAsia="Times New Roman" w:cstheme="minorHAnsi"/>
          <w:bCs/>
          <w:sz w:val="24"/>
          <w:szCs w:val="24"/>
        </w:rPr>
        <w:t xml:space="preserve">and/or PSB appointed officers, </w:t>
      </w:r>
      <w:r w:rsidRPr="006A629F">
        <w:rPr>
          <w:rFonts w:eastAsia="Times New Roman" w:cstheme="minorHAnsi"/>
          <w:bCs/>
          <w:sz w:val="24"/>
          <w:szCs w:val="24"/>
        </w:rPr>
        <w:t xml:space="preserve">who will play an important role in facilitating the </w:t>
      </w:r>
      <w:r>
        <w:rPr>
          <w:rFonts w:eastAsia="Times New Roman" w:cstheme="minorHAnsi"/>
          <w:bCs/>
          <w:sz w:val="24"/>
          <w:szCs w:val="24"/>
        </w:rPr>
        <w:t>process.</w:t>
      </w:r>
      <w:r w:rsidRPr="006A629F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To achieve this</w:t>
      </w:r>
      <w:r w:rsidRPr="006A629F">
        <w:rPr>
          <w:rFonts w:eastAsia="Times New Roman" w:cstheme="minorHAnsi"/>
          <w:bCs/>
          <w:sz w:val="24"/>
          <w:szCs w:val="24"/>
        </w:rPr>
        <w:t xml:space="preserve"> key </w:t>
      </w:r>
      <w:proofErr w:type="gramStart"/>
      <w:r w:rsidRPr="006A629F">
        <w:rPr>
          <w:rFonts w:eastAsia="Times New Roman" w:cstheme="minorHAnsi"/>
          <w:bCs/>
          <w:sz w:val="24"/>
          <w:szCs w:val="24"/>
        </w:rPr>
        <w:t>outcome</w:t>
      </w:r>
      <w:proofErr w:type="gramEnd"/>
      <w:r w:rsidR="00344579">
        <w:rPr>
          <w:rFonts w:eastAsia="Times New Roman" w:cstheme="minorHAnsi"/>
          <w:bCs/>
          <w:sz w:val="24"/>
          <w:szCs w:val="24"/>
        </w:rPr>
        <w:t xml:space="preserve"> we</w:t>
      </w:r>
      <w:r w:rsidRPr="006A629F">
        <w:rPr>
          <w:rFonts w:eastAsia="Times New Roman" w:cstheme="minorHAnsi"/>
          <w:bCs/>
          <w:sz w:val="24"/>
          <w:szCs w:val="24"/>
        </w:rPr>
        <w:t xml:space="preserve"> </w:t>
      </w:r>
      <w:r w:rsidR="0024608B">
        <w:rPr>
          <w:rFonts w:eastAsia="Times New Roman" w:cstheme="minorHAnsi"/>
          <w:bCs/>
          <w:sz w:val="24"/>
          <w:szCs w:val="24"/>
        </w:rPr>
        <w:t xml:space="preserve">will </w:t>
      </w:r>
      <w:r w:rsidRPr="006A629F">
        <w:rPr>
          <w:rFonts w:eastAsia="Times New Roman" w:cstheme="minorHAnsi"/>
          <w:bCs/>
          <w:sz w:val="24"/>
          <w:szCs w:val="24"/>
        </w:rPr>
        <w:t>be utilis</w:t>
      </w:r>
      <w:r w:rsidR="0024608B">
        <w:rPr>
          <w:rFonts w:eastAsia="Times New Roman" w:cstheme="minorHAnsi"/>
          <w:bCs/>
          <w:sz w:val="24"/>
          <w:szCs w:val="24"/>
        </w:rPr>
        <w:t>ing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6A629F">
        <w:rPr>
          <w:rFonts w:eastAsia="Times New Roman" w:cstheme="minorHAnsi"/>
          <w:bCs/>
          <w:sz w:val="24"/>
          <w:szCs w:val="24"/>
        </w:rPr>
        <w:t>partner expertise</w:t>
      </w:r>
      <w:r w:rsidR="0024608B">
        <w:rPr>
          <w:rFonts w:eastAsia="Times New Roman" w:cstheme="minorHAnsi"/>
          <w:bCs/>
          <w:sz w:val="24"/>
          <w:szCs w:val="24"/>
        </w:rPr>
        <w:t xml:space="preserve"> in stakeholder steering groups and</w:t>
      </w:r>
      <w:r w:rsidRPr="006A629F">
        <w:rPr>
          <w:rFonts w:eastAsia="Times New Roman" w:cstheme="minorHAnsi"/>
          <w:bCs/>
          <w:sz w:val="24"/>
          <w:szCs w:val="24"/>
        </w:rPr>
        <w:t xml:space="preserve"> design</w:t>
      </w:r>
      <w:r w:rsidR="0024608B">
        <w:rPr>
          <w:rFonts w:eastAsia="Times New Roman" w:cstheme="minorHAnsi"/>
          <w:bCs/>
          <w:sz w:val="24"/>
          <w:szCs w:val="24"/>
        </w:rPr>
        <w:t>ing</w:t>
      </w:r>
      <w:r w:rsidRPr="006A629F">
        <w:rPr>
          <w:rFonts w:eastAsia="Times New Roman" w:cstheme="minorHAnsi"/>
          <w:bCs/>
          <w:sz w:val="24"/>
          <w:szCs w:val="24"/>
        </w:rPr>
        <w:t xml:space="preserve"> and run</w:t>
      </w:r>
      <w:r w:rsidR="0024608B">
        <w:rPr>
          <w:rFonts w:eastAsia="Times New Roman" w:cstheme="minorHAnsi"/>
          <w:bCs/>
          <w:sz w:val="24"/>
          <w:szCs w:val="24"/>
        </w:rPr>
        <w:t>ning</w:t>
      </w:r>
      <w:r w:rsidRPr="006A629F">
        <w:rPr>
          <w:rFonts w:eastAsia="Times New Roman" w:cstheme="minorHAnsi"/>
          <w:bCs/>
          <w:sz w:val="24"/>
          <w:szCs w:val="24"/>
        </w:rPr>
        <w:t xml:space="preserve"> </w:t>
      </w:r>
      <w:r w:rsidR="0024608B">
        <w:rPr>
          <w:rFonts w:eastAsia="Times New Roman" w:cstheme="minorHAnsi"/>
          <w:bCs/>
          <w:sz w:val="24"/>
          <w:szCs w:val="24"/>
        </w:rPr>
        <w:t xml:space="preserve">stakeholder/partner </w:t>
      </w:r>
      <w:r w:rsidRPr="006A629F">
        <w:rPr>
          <w:rFonts w:eastAsia="Times New Roman" w:cstheme="minorHAnsi"/>
          <w:bCs/>
          <w:sz w:val="24"/>
          <w:szCs w:val="24"/>
        </w:rPr>
        <w:t>workshop</w:t>
      </w:r>
      <w:r>
        <w:rPr>
          <w:rFonts w:eastAsia="Times New Roman" w:cstheme="minorHAnsi"/>
          <w:bCs/>
          <w:sz w:val="24"/>
          <w:szCs w:val="24"/>
        </w:rPr>
        <w:t xml:space="preserve">s for each </w:t>
      </w:r>
      <w:r w:rsidR="00344579">
        <w:rPr>
          <w:rFonts w:eastAsia="Times New Roman" w:cstheme="minorHAnsi"/>
          <w:bCs/>
          <w:sz w:val="24"/>
          <w:szCs w:val="24"/>
        </w:rPr>
        <w:t>area of focus</w:t>
      </w:r>
      <w:r w:rsidRPr="006A629F">
        <w:rPr>
          <w:rFonts w:eastAsia="Times New Roman" w:cstheme="minorHAnsi"/>
          <w:bCs/>
          <w:sz w:val="24"/>
          <w:szCs w:val="24"/>
        </w:rPr>
        <w:t>, the development</w:t>
      </w:r>
      <w:r>
        <w:rPr>
          <w:rFonts w:eastAsia="Times New Roman" w:cstheme="minorHAnsi"/>
          <w:bCs/>
          <w:sz w:val="24"/>
          <w:szCs w:val="24"/>
        </w:rPr>
        <w:t xml:space="preserve"> and outcome</w:t>
      </w:r>
      <w:r w:rsidRPr="006A629F">
        <w:rPr>
          <w:rFonts w:eastAsia="Times New Roman" w:cstheme="minorHAnsi"/>
          <w:bCs/>
          <w:sz w:val="24"/>
          <w:szCs w:val="24"/>
        </w:rPr>
        <w:t xml:space="preserve"> of which will </w:t>
      </w:r>
      <w:r w:rsidR="00E90CC8">
        <w:rPr>
          <w:rFonts w:eastAsia="Times New Roman" w:cstheme="minorHAnsi"/>
          <w:bCs/>
          <w:sz w:val="24"/>
          <w:szCs w:val="24"/>
        </w:rPr>
        <w:t xml:space="preserve">be analysed in an integrated way and </w:t>
      </w:r>
      <w:r>
        <w:rPr>
          <w:rFonts w:eastAsia="Times New Roman" w:cstheme="minorHAnsi"/>
          <w:bCs/>
          <w:sz w:val="24"/>
          <w:szCs w:val="24"/>
        </w:rPr>
        <w:t>inform</w:t>
      </w:r>
      <w:r w:rsidRPr="006A629F">
        <w:rPr>
          <w:rFonts w:eastAsia="Times New Roman" w:cstheme="minorHAnsi"/>
          <w:bCs/>
          <w:sz w:val="24"/>
          <w:szCs w:val="24"/>
        </w:rPr>
        <w:t xml:space="preserve"> the </w:t>
      </w:r>
      <w:r>
        <w:rPr>
          <w:rFonts w:eastAsia="Times New Roman" w:cstheme="minorHAnsi"/>
          <w:bCs/>
          <w:sz w:val="24"/>
          <w:szCs w:val="24"/>
        </w:rPr>
        <w:t xml:space="preserve">proposals for the </w:t>
      </w:r>
      <w:r w:rsidRPr="006A629F">
        <w:rPr>
          <w:rFonts w:eastAsia="Times New Roman" w:cstheme="minorHAnsi"/>
          <w:bCs/>
          <w:sz w:val="24"/>
          <w:szCs w:val="24"/>
        </w:rPr>
        <w:t xml:space="preserve">PSB </w:t>
      </w:r>
      <w:r>
        <w:rPr>
          <w:rFonts w:eastAsia="Times New Roman" w:cstheme="minorHAnsi"/>
          <w:bCs/>
          <w:sz w:val="24"/>
          <w:szCs w:val="24"/>
        </w:rPr>
        <w:t xml:space="preserve">in </w:t>
      </w:r>
      <w:r w:rsidR="00793F84">
        <w:rPr>
          <w:rFonts w:eastAsia="Times New Roman" w:cstheme="minorHAnsi"/>
          <w:bCs/>
          <w:sz w:val="24"/>
          <w:szCs w:val="24"/>
        </w:rPr>
        <w:t>March</w:t>
      </w:r>
      <w:r>
        <w:rPr>
          <w:rFonts w:eastAsia="Times New Roman" w:cstheme="minorHAnsi"/>
          <w:bCs/>
          <w:sz w:val="24"/>
          <w:szCs w:val="24"/>
        </w:rPr>
        <w:t xml:space="preserve"> 2024.</w:t>
      </w:r>
      <w:r w:rsidR="006D3F72">
        <w:rPr>
          <w:rFonts w:eastAsia="Times New Roman" w:cstheme="minorHAnsi"/>
          <w:bCs/>
          <w:sz w:val="24"/>
          <w:szCs w:val="24"/>
        </w:rPr>
        <w:t xml:space="preserve">           </w:t>
      </w:r>
    </w:p>
    <w:p w14:paraId="5ACC3696" w14:textId="77777777" w:rsidR="00A84024" w:rsidRPr="006A629F" w:rsidRDefault="00A84024" w:rsidP="0095202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731F3FC1" w14:textId="57ECDE10" w:rsidR="00906595" w:rsidRPr="006A629F" w:rsidRDefault="001B0A7C" w:rsidP="00952023">
      <w:pPr>
        <w:spacing w:after="0" w:line="240" w:lineRule="auto"/>
        <w:ind w:left="720" w:hanging="720"/>
        <w:rPr>
          <w:rFonts w:eastAsia="Times New Roman" w:cstheme="minorHAnsi"/>
          <w:bCs/>
          <w:sz w:val="24"/>
          <w:szCs w:val="24"/>
        </w:rPr>
      </w:pPr>
      <w:r w:rsidRPr="006A629F">
        <w:rPr>
          <w:rFonts w:eastAsia="Times New Roman" w:cstheme="minorHAnsi"/>
          <w:bCs/>
          <w:sz w:val="24"/>
          <w:szCs w:val="24"/>
        </w:rPr>
        <w:t>3.</w:t>
      </w:r>
      <w:r w:rsidR="004B5AD2">
        <w:rPr>
          <w:rFonts w:eastAsia="Times New Roman" w:cstheme="minorHAnsi"/>
          <w:bCs/>
          <w:sz w:val="24"/>
          <w:szCs w:val="24"/>
        </w:rPr>
        <w:t>6</w:t>
      </w:r>
      <w:r w:rsidRPr="006A629F">
        <w:rPr>
          <w:rFonts w:eastAsia="Times New Roman" w:cstheme="minorHAnsi"/>
          <w:bCs/>
          <w:sz w:val="24"/>
          <w:szCs w:val="24"/>
        </w:rPr>
        <w:tab/>
      </w:r>
      <w:r w:rsidR="006D3F72" w:rsidRPr="006D3F72">
        <w:rPr>
          <w:rFonts w:eastAsia="Times New Roman" w:cstheme="minorHAnsi"/>
          <w:bCs/>
          <w:sz w:val="24"/>
          <w:szCs w:val="24"/>
        </w:rPr>
        <w:t>It may be necessary for the PSB to look to develop new activity where there are gaps in provision, or where changes in current practice may be required</w:t>
      </w:r>
      <w:r w:rsidR="006D3F72">
        <w:rPr>
          <w:rFonts w:eastAsia="Times New Roman" w:cstheme="minorHAnsi"/>
          <w:bCs/>
          <w:sz w:val="24"/>
          <w:szCs w:val="24"/>
        </w:rPr>
        <w:t xml:space="preserve">. </w:t>
      </w:r>
      <w:r w:rsidR="00906595" w:rsidRPr="006A629F">
        <w:rPr>
          <w:rFonts w:ascii="Calibri" w:eastAsia="Calibri" w:hAnsi="Calibri" w:cs="Calibri"/>
          <w:sz w:val="24"/>
          <w:szCs w:val="24"/>
        </w:rPr>
        <w:t xml:space="preserve">Delivery at a regional scale </w:t>
      </w:r>
      <w:r w:rsidR="00606F92" w:rsidRPr="006A629F">
        <w:rPr>
          <w:rFonts w:ascii="Calibri" w:eastAsia="Calibri" w:hAnsi="Calibri" w:cs="Calibri"/>
          <w:sz w:val="24"/>
          <w:szCs w:val="24"/>
        </w:rPr>
        <w:t xml:space="preserve">will </w:t>
      </w:r>
      <w:r w:rsidR="00606F92">
        <w:rPr>
          <w:rFonts w:ascii="Calibri" w:eastAsia="Calibri" w:hAnsi="Calibri" w:cs="Calibri"/>
          <w:sz w:val="24"/>
          <w:szCs w:val="24"/>
        </w:rPr>
        <w:t xml:space="preserve">also </w:t>
      </w:r>
      <w:r w:rsidR="00906595" w:rsidRPr="006A629F">
        <w:rPr>
          <w:rFonts w:ascii="Calibri" w:eastAsia="Calibri" w:hAnsi="Calibri" w:cs="Calibri"/>
          <w:sz w:val="24"/>
          <w:szCs w:val="24"/>
        </w:rPr>
        <w:t>need to take into consideration current regional boards and partnership delivery</w:t>
      </w:r>
      <w:r w:rsidR="006D3F72">
        <w:rPr>
          <w:rFonts w:ascii="Calibri" w:eastAsia="Calibri" w:hAnsi="Calibri" w:cs="Calibri"/>
          <w:sz w:val="24"/>
          <w:szCs w:val="24"/>
        </w:rPr>
        <w:t>.</w:t>
      </w:r>
      <w:r w:rsidR="00906595" w:rsidRPr="006A629F">
        <w:rPr>
          <w:rFonts w:ascii="Calibri" w:eastAsia="Calibri" w:hAnsi="Calibri" w:cs="Calibri"/>
          <w:sz w:val="24"/>
          <w:szCs w:val="24"/>
        </w:rPr>
        <w:t xml:space="preserve"> </w:t>
      </w:r>
      <w:r w:rsidR="00606F92">
        <w:rPr>
          <w:rFonts w:ascii="Calibri" w:eastAsia="Calibri" w:hAnsi="Calibri" w:cs="Calibri"/>
          <w:sz w:val="24"/>
          <w:szCs w:val="24"/>
        </w:rPr>
        <w:t>And t</w:t>
      </w:r>
      <w:r w:rsidR="006D3F72">
        <w:rPr>
          <w:rFonts w:eastAsia="Times New Roman" w:cstheme="minorHAnsi"/>
          <w:bCs/>
          <w:sz w:val="24"/>
          <w:szCs w:val="24"/>
        </w:rPr>
        <w:t xml:space="preserve">here </w:t>
      </w:r>
      <w:r w:rsidR="00606F92">
        <w:rPr>
          <w:rFonts w:eastAsia="Times New Roman" w:cstheme="minorHAnsi"/>
          <w:bCs/>
          <w:sz w:val="24"/>
          <w:szCs w:val="24"/>
        </w:rPr>
        <w:lastRenderedPageBreak/>
        <w:t>is also</w:t>
      </w:r>
      <w:r w:rsidR="006D3F72">
        <w:rPr>
          <w:rFonts w:eastAsia="Times New Roman" w:cstheme="minorHAnsi"/>
          <w:bCs/>
          <w:sz w:val="24"/>
          <w:szCs w:val="24"/>
        </w:rPr>
        <w:t xml:space="preserve"> </w:t>
      </w:r>
      <w:r w:rsidR="00606F92">
        <w:rPr>
          <w:rFonts w:eastAsia="Times New Roman" w:cstheme="minorHAnsi"/>
          <w:bCs/>
          <w:sz w:val="24"/>
          <w:szCs w:val="24"/>
        </w:rPr>
        <w:t xml:space="preserve">a </w:t>
      </w:r>
      <w:r w:rsidR="00606F92" w:rsidRPr="006A629F">
        <w:rPr>
          <w:rFonts w:eastAsia="Times New Roman" w:cstheme="minorHAnsi"/>
          <w:bCs/>
          <w:sz w:val="24"/>
          <w:szCs w:val="24"/>
        </w:rPr>
        <w:t>need</w:t>
      </w:r>
      <w:r w:rsidR="006D3F72">
        <w:rPr>
          <w:rFonts w:eastAsia="Times New Roman" w:cstheme="minorHAnsi"/>
          <w:bCs/>
          <w:sz w:val="24"/>
          <w:szCs w:val="24"/>
        </w:rPr>
        <w:t xml:space="preserve"> to </w:t>
      </w:r>
      <w:r w:rsidR="00606F92">
        <w:rPr>
          <w:rFonts w:eastAsia="Times New Roman" w:cstheme="minorHAnsi"/>
          <w:bCs/>
          <w:sz w:val="24"/>
          <w:szCs w:val="24"/>
        </w:rPr>
        <w:t xml:space="preserve">consider </w:t>
      </w:r>
      <w:r w:rsidR="00906595" w:rsidRPr="006A629F">
        <w:rPr>
          <w:rFonts w:eastAsia="Times New Roman" w:cstheme="minorHAnsi"/>
          <w:bCs/>
          <w:sz w:val="24"/>
          <w:szCs w:val="24"/>
        </w:rPr>
        <w:t xml:space="preserve">work that will be undertaken at a local level via Local Delivery Groups that will </w:t>
      </w:r>
      <w:r w:rsidR="00606F92">
        <w:rPr>
          <w:rFonts w:eastAsia="Times New Roman" w:cstheme="minorHAnsi"/>
          <w:bCs/>
          <w:sz w:val="24"/>
          <w:szCs w:val="24"/>
        </w:rPr>
        <w:t>deliver</w:t>
      </w:r>
      <w:r w:rsidR="00906595" w:rsidRPr="006A629F">
        <w:rPr>
          <w:rFonts w:eastAsia="Times New Roman" w:cstheme="minorHAnsi"/>
          <w:bCs/>
          <w:sz w:val="24"/>
          <w:szCs w:val="24"/>
        </w:rPr>
        <w:t xml:space="preserve"> regional PSB priorities.</w:t>
      </w:r>
      <w:r w:rsidR="00606F92" w:rsidRPr="00606F92">
        <w:t xml:space="preserve"> </w:t>
      </w:r>
      <w:r w:rsidR="00606F92" w:rsidRPr="00606F92">
        <w:rPr>
          <w:rFonts w:eastAsia="Times New Roman" w:cstheme="minorHAnsi"/>
          <w:bCs/>
          <w:sz w:val="24"/>
          <w:szCs w:val="24"/>
        </w:rPr>
        <w:t>It is recommended to identify lead</w:t>
      </w:r>
      <w:r w:rsidR="00606F92">
        <w:rPr>
          <w:rFonts w:eastAsia="Times New Roman" w:cstheme="minorHAnsi"/>
          <w:bCs/>
          <w:sz w:val="24"/>
          <w:szCs w:val="24"/>
        </w:rPr>
        <w:t xml:space="preserve"> </w:t>
      </w:r>
      <w:r w:rsidR="00606F92" w:rsidRPr="00606F92">
        <w:rPr>
          <w:rFonts w:eastAsia="Times New Roman" w:cstheme="minorHAnsi"/>
          <w:bCs/>
          <w:sz w:val="24"/>
          <w:szCs w:val="24"/>
        </w:rPr>
        <w:t>organisation</w:t>
      </w:r>
      <w:r w:rsidR="00606F92">
        <w:rPr>
          <w:rFonts w:eastAsia="Times New Roman" w:cstheme="minorHAnsi"/>
          <w:bCs/>
          <w:sz w:val="24"/>
          <w:szCs w:val="24"/>
        </w:rPr>
        <w:t>(s)</w:t>
      </w:r>
      <w:r w:rsidR="00606F92" w:rsidRPr="00606F92">
        <w:rPr>
          <w:rFonts w:eastAsia="Times New Roman" w:cstheme="minorHAnsi"/>
          <w:bCs/>
          <w:sz w:val="24"/>
          <w:szCs w:val="24"/>
        </w:rPr>
        <w:t>/</w:t>
      </w:r>
      <w:r w:rsidR="00606F92">
        <w:rPr>
          <w:rFonts w:eastAsia="Times New Roman" w:cstheme="minorHAnsi"/>
          <w:bCs/>
          <w:sz w:val="24"/>
          <w:szCs w:val="24"/>
        </w:rPr>
        <w:t xml:space="preserve"> </w:t>
      </w:r>
      <w:r w:rsidR="0024608B">
        <w:rPr>
          <w:rFonts w:eastAsia="Times New Roman" w:cstheme="minorHAnsi"/>
          <w:bCs/>
          <w:sz w:val="24"/>
          <w:szCs w:val="24"/>
        </w:rPr>
        <w:t>representative</w:t>
      </w:r>
      <w:r w:rsidR="00606F92">
        <w:rPr>
          <w:rFonts w:eastAsia="Times New Roman" w:cstheme="minorHAnsi"/>
          <w:bCs/>
          <w:sz w:val="24"/>
          <w:szCs w:val="24"/>
        </w:rPr>
        <w:t>(s)</w:t>
      </w:r>
      <w:r w:rsidR="00606F92" w:rsidRPr="00606F92">
        <w:rPr>
          <w:rFonts w:eastAsia="Times New Roman" w:cstheme="minorHAnsi"/>
          <w:bCs/>
          <w:sz w:val="24"/>
          <w:szCs w:val="24"/>
        </w:rPr>
        <w:t xml:space="preserve"> </w:t>
      </w:r>
      <w:r w:rsidR="00606F92">
        <w:rPr>
          <w:rFonts w:eastAsia="Times New Roman" w:cstheme="minorHAnsi"/>
          <w:bCs/>
          <w:sz w:val="24"/>
          <w:szCs w:val="24"/>
        </w:rPr>
        <w:t xml:space="preserve">from the PSB for </w:t>
      </w:r>
      <w:r w:rsidR="00606F92" w:rsidRPr="00606F92">
        <w:rPr>
          <w:rFonts w:eastAsia="Times New Roman" w:cstheme="minorHAnsi"/>
          <w:bCs/>
          <w:sz w:val="24"/>
          <w:szCs w:val="24"/>
        </w:rPr>
        <w:t xml:space="preserve">each </w:t>
      </w:r>
      <w:r w:rsidR="00606F92">
        <w:rPr>
          <w:rFonts w:eastAsia="Times New Roman" w:cstheme="minorHAnsi"/>
          <w:bCs/>
          <w:sz w:val="24"/>
          <w:szCs w:val="24"/>
        </w:rPr>
        <w:t xml:space="preserve">of the four </w:t>
      </w:r>
      <w:r w:rsidR="00344579">
        <w:rPr>
          <w:rFonts w:eastAsia="Times New Roman" w:cstheme="minorHAnsi"/>
          <w:bCs/>
          <w:sz w:val="24"/>
          <w:szCs w:val="24"/>
        </w:rPr>
        <w:t>a</w:t>
      </w:r>
      <w:r w:rsidR="0024608B">
        <w:rPr>
          <w:rFonts w:eastAsia="Times New Roman" w:cstheme="minorHAnsi"/>
          <w:bCs/>
          <w:sz w:val="24"/>
          <w:szCs w:val="24"/>
        </w:rPr>
        <w:t xml:space="preserve">reas of </w:t>
      </w:r>
      <w:r w:rsidR="00344579">
        <w:rPr>
          <w:rFonts w:eastAsia="Times New Roman" w:cstheme="minorHAnsi"/>
          <w:bCs/>
          <w:sz w:val="24"/>
          <w:szCs w:val="24"/>
        </w:rPr>
        <w:t>f</w:t>
      </w:r>
      <w:r w:rsidR="0024608B">
        <w:rPr>
          <w:rFonts w:eastAsia="Times New Roman" w:cstheme="minorHAnsi"/>
          <w:bCs/>
          <w:sz w:val="24"/>
          <w:szCs w:val="24"/>
        </w:rPr>
        <w:t>ocus</w:t>
      </w:r>
      <w:r w:rsidR="00606F92">
        <w:rPr>
          <w:rFonts w:eastAsia="Times New Roman" w:cstheme="minorHAnsi"/>
          <w:bCs/>
          <w:sz w:val="24"/>
          <w:szCs w:val="24"/>
        </w:rPr>
        <w:t xml:space="preserve"> </w:t>
      </w:r>
      <w:r w:rsidR="00606F92" w:rsidRPr="00606F92">
        <w:rPr>
          <w:rFonts w:eastAsia="Times New Roman" w:cstheme="minorHAnsi"/>
          <w:bCs/>
          <w:sz w:val="24"/>
          <w:szCs w:val="24"/>
        </w:rPr>
        <w:t xml:space="preserve">to drive this work.  Leads will be responsible for </w:t>
      </w:r>
      <w:r w:rsidR="00606F92">
        <w:rPr>
          <w:rFonts w:eastAsia="Times New Roman" w:cstheme="minorHAnsi"/>
          <w:bCs/>
          <w:sz w:val="24"/>
          <w:szCs w:val="24"/>
        </w:rPr>
        <w:t xml:space="preserve">ensuring the proposals presented to the PSB in </w:t>
      </w:r>
      <w:r w:rsidR="00793F84">
        <w:rPr>
          <w:rFonts w:eastAsia="Times New Roman" w:cstheme="minorHAnsi"/>
          <w:bCs/>
          <w:sz w:val="24"/>
          <w:szCs w:val="24"/>
        </w:rPr>
        <w:t>March</w:t>
      </w:r>
      <w:r w:rsidR="00606F92">
        <w:rPr>
          <w:rFonts w:eastAsia="Times New Roman" w:cstheme="minorHAnsi"/>
          <w:bCs/>
          <w:sz w:val="24"/>
          <w:szCs w:val="24"/>
        </w:rPr>
        <w:t xml:space="preserve"> meet the level of</w:t>
      </w:r>
      <w:r w:rsidR="00606F92" w:rsidRPr="00606F92">
        <w:rPr>
          <w:rFonts w:eastAsia="Times New Roman" w:cstheme="minorHAnsi"/>
          <w:bCs/>
          <w:sz w:val="24"/>
          <w:szCs w:val="24"/>
        </w:rPr>
        <w:t xml:space="preserve"> ambition </w:t>
      </w:r>
      <w:r w:rsidR="00606F92">
        <w:rPr>
          <w:rFonts w:eastAsia="Times New Roman" w:cstheme="minorHAnsi"/>
          <w:bCs/>
          <w:sz w:val="24"/>
          <w:szCs w:val="24"/>
        </w:rPr>
        <w:t>the</w:t>
      </w:r>
      <w:r w:rsidR="00606F92" w:rsidRPr="00606F92">
        <w:rPr>
          <w:rFonts w:eastAsia="Times New Roman" w:cstheme="minorHAnsi"/>
          <w:bCs/>
          <w:sz w:val="24"/>
          <w:szCs w:val="24"/>
        </w:rPr>
        <w:t xml:space="preserve"> PSB </w:t>
      </w:r>
      <w:r w:rsidR="00606F92">
        <w:rPr>
          <w:rFonts w:eastAsia="Times New Roman" w:cstheme="minorHAnsi"/>
          <w:bCs/>
          <w:sz w:val="24"/>
          <w:szCs w:val="24"/>
        </w:rPr>
        <w:t xml:space="preserve">require. </w:t>
      </w:r>
    </w:p>
    <w:p w14:paraId="21EC0EEE" w14:textId="77777777" w:rsidR="001B0A7C" w:rsidRPr="006A629F" w:rsidRDefault="001B0A7C" w:rsidP="00952023">
      <w:pPr>
        <w:spacing w:after="0" w:line="240" w:lineRule="auto"/>
        <w:ind w:left="720" w:hanging="720"/>
        <w:rPr>
          <w:rFonts w:eastAsia="Times New Roman" w:cstheme="minorHAnsi"/>
          <w:bCs/>
          <w:sz w:val="24"/>
          <w:szCs w:val="24"/>
        </w:rPr>
      </w:pPr>
    </w:p>
    <w:p w14:paraId="3FD26285" w14:textId="34492404" w:rsidR="007C37DC" w:rsidRDefault="00CC191B" w:rsidP="007C37DC">
      <w:pPr>
        <w:spacing w:after="0" w:line="240" w:lineRule="auto"/>
        <w:ind w:left="720" w:hanging="720"/>
        <w:rPr>
          <w:rFonts w:eastAsia="Times New Roman" w:cstheme="minorHAnsi"/>
          <w:bCs/>
          <w:sz w:val="24"/>
          <w:szCs w:val="24"/>
        </w:rPr>
      </w:pPr>
      <w:r w:rsidRPr="00793F84">
        <w:rPr>
          <w:rFonts w:eastAsia="Times New Roman" w:cstheme="minorHAnsi"/>
          <w:bCs/>
          <w:sz w:val="24"/>
          <w:szCs w:val="24"/>
        </w:rPr>
        <w:t>3.</w:t>
      </w:r>
      <w:r w:rsidR="004B5AD2" w:rsidRPr="00793F84">
        <w:rPr>
          <w:rFonts w:eastAsia="Times New Roman" w:cstheme="minorHAnsi"/>
          <w:bCs/>
          <w:sz w:val="24"/>
          <w:szCs w:val="24"/>
        </w:rPr>
        <w:t>7</w:t>
      </w:r>
      <w:r w:rsidR="00AD7FF9" w:rsidRPr="00793F84">
        <w:rPr>
          <w:rFonts w:eastAsia="Times New Roman" w:cstheme="minorHAnsi"/>
          <w:bCs/>
          <w:sz w:val="24"/>
          <w:szCs w:val="24"/>
        </w:rPr>
        <w:t xml:space="preserve"> </w:t>
      </w:r>
      <w:r w:rsidRPr="00793F84">
        <w:rPr>
          <w:rFonts w:eastAsia="Times New Roman" w:cstheme="minorHAnsi"/>
          <w:bCs/>
          <w:sz w:val="24"/>
          <w:szCs w:val="24"/>
        </w:rPr>
        <w:tab/>
      </w:r>
      <w:r w:rsidR="0031483E" w:rsidRPr="00793F84">
        <w:rPr>
          <w:rFonts w:eastAsia="Times New Roman" w:cstheme="minorHAnsi"/>
          <w:bCs/>
          <w:sz w:val="24"/>
          <w:szCs w:val="24"/>
        </w:rPr>
        <w:t xml:space="preserve">The following partners have come forward </w:t>
      </w:r>
      <w:r w:rsidR="00607DCA">
        <w:rPr>
          <w:rFonts w:eastAsia="Times New Roman" w:cstheme="minorHAnsi"/>
          <w:bCs/>
          <w:sz w:val="24"/>
          <w:szCs w:val="24"/>
        </w:rPr>
        <w:t>to</w:t>
      </w:r>
      <w:r w:rsidR="0031483E" w:rsidRPr="00793F84">
        <w:rPr>
          <w:rFonts w:eastAsia="Times New Roman" w:cstheme="minorHAnsi"/>
          <w:bCs/>
          <w:sz w:val="24"/>
          <w:szCs w:val="24"/>
        </w:rPr>
        <w:t xml:space="preserve"> lead </w:t>
      </w:r>
      <w:r w:rsidR="00607DCA">
        <w:rPr>
          <w:rFonts w:eastAsia="Times New Roman" w:cstheme="minorHAnsi"/>
          <w:bCs/>
          <w:sz w:val="24"/>
          <w:szCs w:val="24"/>
        </w:rPr>
        <w:t>the steering group</w:t>
      </w:r>
      <w:r w:rsidR="0024608B">
        <w:rPr>
          <w:rFonts w:eastAsia="Times New Roman" w:cstheme="minorHAnsi"/>
          <w:bCs/>
          <w:sz w:val="24"/>
          <w:szCs w:val="24"/>
        </w:rPr>
        <w:t>s</w:t>
      </w:r>
      <w:r w:rsidR="00607DCA">
        <w:rPr>
          <w:rFonts w:eastAsia="Times New Roman" w:cstheme="minorHAnsi"/>
          <w:bCs/>
          <w:sz w:val="24"/>
          <w:szCs w:val="24"/>
        </w:rPr>
        <w:t xml:space="preserve"> for </w:t>
      </w:r>
      <w:r w:rsidR="0031483E" w:rsidRPr="00793F84">
        <w:rPr>
          <w:rFonts w:eastAsia="Times New Roman" w:cstheme="minorHAnsi"/>
          <w:bCs/>
          <w:sz w:val="24"/>
          <w:szCs w:val="24"/>
        </w:rPr>
        <w:t xml:space="preserve">each of the </w:t>
      </w:r>
      <w:r w:rsidR="0024608B">
        <w:rPr>
          <w:rFonts w:eastAsia="Times New Roman" w:cstheme="minorHAnsi"/>
          <w:bCs/>
          <w:sz w:val="24"/>
          <w:szCs w:val="24"/>
        </w:rPr>
        <w:t>A</w:t>
      </w:r>
      <w:r w:rsidR="0031483E" w:rsidRPr="00793F84">
        <w:rPr>
          <w:rFonts w:eastAsia="Times New Roman" w:cstheme="minorHAnsi"/>
          <w:bCs/>
          <w:sz w:val="24"/>
          <w:szCs w:val="24"/>
        </w:rPr>
        <w:t xml:space="preserve">reas of </w:t>
      </w:r>
      <w:r w:rsidR="0024608B">
        <w:rPr>
          <w:rFonts w:eastAsia="Times New Roman" w:cstheme="minorHAnsi"/>
          <w:bCs/>
          <w:sz w:val="24"/>
          <w:szCs w:val="24"/>
        </w:rPr>
        <w:t>F</w:t>
      </w:r>
      <w:r w:rsidR="0031483E" w:rsidRPr="00793F84">
        <w:rPr>
          <w:rFonts w:eastAsia="Times New Roman" w:cstheme="minorHAnsi"/>
          <w:bCs/>
          <w:sz w:val="24"/>
          <w:szCs w:val="24"/>
        </w:rPr>
        <w:t>ocus. PSB are asked to provide further nominations</w:t>
      </w:r>
      <w:r w:rsidR="004463F8" w:rsidRPr="00793F84">
        <w:rPr>
          <w:rFonts w:eastAsia="Times New Roman" w:cstheme="minorHAnsi"/>
          <w:bCs/>
          <w:sz w:val="24"/>
          <w:szCs w:val="24"/>
        </w:rPr>
        <w:t>, if required,</w:t>
      </w:r>
      <w:r w:rsidR="0031483E" w:rsidRPr="00793F84">
        <w:rPr>
          <w:rFonts w:eastAsia="Times New Roman" w:cstheme="minorHAnsi"/>
          <w:bCs/>
          <w:sz w:val="24"/>
          <w:szCs w:val="24"/>
        </w:rPr>
        <w:t xml:space="preserve"> and agreed the PSB representative lead for each.</w:t>
      </w:r>
      <w:r w:rsidR="0031483E">
        <w:rPr>
          <w:rFonts w:eastAsia="Times New Roman" w:cstheme="minorHAnsi"/>
          <w:bCs/>
          <w:sz w:val="24"/>
          <w:szCs w:val="24"/>
        </w:rPr>
        <w:t xml:space="preserve"> </w:t>
      </w:r>
    </w:p>
    <w:p w14:paraId="6F67C81C" w14:textId="77777777" w:rsidR="007C37DC" w:rsidRDefault="007C37DC" w:rsidP="007C37DC">
      <w:pPr>
        <w:spacing w:after="0" w:line="240" w:lineRule="auto"/>
        <w:ind w:left="720" w:hanging="720"/>
        <w:rPr>
          <w:rFonts w:eastAsia="Times New Roman" w:cstheme="minorHAnsi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55"/>
        <w:gridCol w:w="4719"/>
      </w:tblGrid>
      <w:tr w:rsidR="007C37DC" w14:paraId="5003A3AB" w14:textId="77777777" w:rsidTr="007C37DC">
        <w:tc>
          <w:tcPr>
            <w:tcW w:w="5097" w:type="dxa"/>
          </w:tcPr>
          <w:p w14:paraId="02470DF7" w14:textId="35A05380" w:rsidR="007C37DC" w:rsidRPr="007C37DC" w:rsidRDefault="007C37DC" w:rsidP="007C37D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7C37DC">
              <w:rPr>
                <w:rFonts w:eastAsia="Times New Roman" w:cstheme="minorHAnsi"/>
                <w:b/>
                <w:sz w:val="24"/>
                <w:szCs w:val="24"/>
              </w:rPr>
              <w:t>Area of Focus</w:t>
            </w:r>
            <w:r w:rsidR="00E90CC8">
              <w:rPr>
                <w:rFonts w:eastAsia="Times New Roman" w:cstheme="minorHAnsi"/>
                <w:b/>
                <w:sz w:val="24"/>
                <w:szCs w:val="24"/>
              </w:rPr>
              <w:t xml:space="preserve"> – Steering Groups</w:t>
            </w:r>
          </w:p>
        </w:tc>
        <w:tc>
          <w:tcPr>
            <w:tcW w:w="5097" w:type="dxa"/>
          </w:tcPr>
          <w:p w14:paraId="7AEF790B" w14:textId="3EB9108D" w:rsidR="007C37DC" w:rsidRPr="007C37DC" w:rsidRDefault="00E90CC8" w:rsidP="007C37D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Steering Group </w:t>
            </w:r>
            <w:r w:rsidR="007C37DC">
              <w:rPr>
                <w:rFonts w:eastAsia="Times New Roman" w:cstheme="minorHAnsi"/>
                <w:b/>
                <w:sz w:val="24"/>
                <w:szCs w:val="24"/>
              </w:rPr>
              <w:t xml:space="preserve">Lead Organisation (To be agreed) </w:t>
            </w:r>
          </w:p>
        </w:tc>
      </w:tr>
      <w:tr w:rsidR="007C37DC" w14:paraId="27EEE8D6" w14:textId="77777777" w:rsidTr="007C37DC">
        <w:tc>
          <w:tcPr>
            <w:tcW w:w="5097" w:type="dxa"/>
          </w:tcPr>
          <w:p w14:paraId="36AAADAA" w14:textId="766DC70D" w:rsidR="007C37DC" w:rsidRPr="007C37DC" w:rsidRDefault="007C37DC" w:rsidP="007C37DC">
            <w:pPr>
              <w:pStyle w:val="ListParagraph"/>
              <w:numPr>
                <w:ilvl w:val="0"/>
                <w:numId w:val="45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7C37DC">
              <w:rPr>
                <w:rFonts w:eastAsia="Times New Roman" w:cstheme="minorHAnsi"/>
                <w:bCs/>
                <w:sz w:val="24"/>
                <w:szCs w:val="24"/>
              </w:rPr>
              <w:t>That every child has the best start in life</w:t>
            </w:r>
          </w:p>
        </w:tc>
        <w:tc>
          <w:tcPr>
            <w:tcW w:w="5097" w:type="dxa"/>
          </w:tcPr>
          <w:p w14:paraId="4CD524BB" w14:textId="31D8363A" w:rsidR="007C37DC" w:rsidRDefault="007C37DC" w:rsidP="007C37D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Public Health</w:t>
            </w:r>
          </w:p>
        </w:tc>
      </w:tr>
      <w:tr w:rsidR="007C37DC" w14:paraId="1EF6F0DE" w14:textId="77777777" w:rsidTr="007C37DC">
        <w:tc>
          <w:tcPr>
            <w:tcW w:w="5097" w:type="dxa"/>
          </w:tcPr>
          <w:p w14:paraId="1367177C" w14:textId="7672B203" w:rsidR="007C37DC" w:rsidRPr="007C37DC" w:rsidRDefault="007C37DC" w:rsidP="007C37DC">
            <w:pPr>
              <w:pStyle w:val="ListParagraph"/>
              <w:numPr>
                <w:ilvl w:val="0"/>
                <w:numId w:val="45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7C37DC">
              <w:rPr>
                <w:rFonts w:eastAsia="Times New Roman" w:cstheme="minorHAnsi"/>
                <w:bCs/>
                <w:sz w:val="24"/>
                <w:szCs w:val="24"/>
              </w:rPr>
              <w:t>That everyone lives in a place they feel safe</w:t>
            </w:r>
          </w:p>
        </w:tc>
        <w:tc>
          <w:tcPr>
            <w:tcW w:w="5097" w:type="dxa"/>
          </w:tcPr>
          <w:p w14:paraId="74FCBD4C" w14:textId="794B20EC" w:rsidR="007C37DC" w:rsidRDefault="007C37DC" w:rsidP="007C37D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Gwent police</w:t>
            </w:r>
          </w:p>
        </w:tc>
      </w:tr>
      <w:tr w:rsidR="007C37DC" w14:paraId="50CEF3D0" w14:textId="77777777" w:rsidTr="007C37DC">
        <w:tc>
          <w:tcPr>
            <w:tcW w:w="5097" w:type="dxa"/>
          </w:tcPr>
          <w:p w14:paraId="028329A0" w14:textId="6617A278" w:rsidR="007C37DC" w:rsidRPr="007C37DC" w:rsidRDefault="007C37DC" w:rsidP="007C37DC">
            <w:pPr>
              <w:pStyle w:val="ListParagraph"/>
              <w:numPr>
                <w:ilvl w:val="0"/>
                <w:numId w:val="45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7C37DC">
              <w:rPr>
                <w:rFonts w:eastAsia="Times New Roman" w:cstheme="minorHAnsi"/>
                <w:bCs/>
                <w:sz w:val="24"/>
                <w:szCs w:val="24"/>
              </w:rPr>
              <w:t>That everyone has the same Economic chances</w:t>
            </w:r>
          </w:p>
        </w:tc>
        <w:tc>
          <w:tcPr>
            <w:tcW w:w="5097" w:type="dxa"/>
          </w:tcPr>
          <w:p w14:paraId="7CE0A2B5" w14:textId="452598F6" w:rsidR="007C37DC" w:rsidRDefault="007C37DC" w:rsidP="007C37D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Blaenau Gwent County Borough Council </w:t>
            </w:r>
          </w:p>
        </w:tc>
      </w:tr>
      <w:tr w:rsidR="007C37DC" w14:paraId="4E6DD131" w14:textId="77777777" w:rsidTr="007C37DC">
        <w:tc>
          <w:tcPr>
            <w:tcW w:w="5097" w:type="dxa"/>
          </w:tcPr>
          <w:p w14:paraId="2E6C5F49" w14:textId="19CFDFC8" w:rsidR="007C37DC" w:rsidRPr="007C37DC" w:rsidRDefault="007C37DC" w:rsidP="007C37DC">
            <w:pPr>
              <w:pStyle w:val="ListParagraph"/>
              <w:numPr>
                <w:ilvl w:val="0"/>
                <w:numId w:val="45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7C37DC">
              <w:rPr>
                <w:rFonts w:eastAsia="Times New Roman" w:cstheme="minorHAnsi"/>
                <w:bCs/>
                <w:sz w:val="24"/>
                <w:szCs w:val="24"/>
              </w:rPr>
              <w:t>That everyone lives in a climate-ready community where their environment is valued and protected</w:t>
            </w:r>
          </w:p>
        </w:tc>
        <w:tc>
          <w:tcPr>
            <w:tcW w:w="5097" w:type="dxa"/>
          </w:tcPr>
          <w:p w14:paraId="0E903C81" w14:textId="1ACC6FF4" w:rsidR="007C37DC" w:rsidRDefault="007C37DC" w:rsidP="007C37D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Natural Resources Wales</w:t>
            </w:r>
          </w:p>
        </w:tc>
      </w:tr>
      <w:tr w:rsidR="007C37DC" w14:paraId="0918EC53" w14:textId="77777777" w:rsidTr="007C37DC">
        <w:tc>
          <w:tcPr>
            <w:tcW w:w="5097" w:type="dxa"/>
          </w:tcPr>
          <w:p w14:paraId="56697FC2" w14:textId="401CD9FD" w:rsidR="004463F8" w:rsidRDefault="004463F8" w:rsidP="004463F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Additional ask from PSB:</w:t>
            </w:r>
          </w:p>
          <w:p w14:paraId="4D363D2D" w14:textId="590CF288" w:rsidR="007C37DC" w:rsidRPr="004463F8" w:rsidRDefault="004463F8" w:rsidP="004463F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to review </w:t>
            </w:r>
            <w:r w:rsidR="00032ECC">
              <w:rPr>
                <w:rFonts w:eastAsia="Times New Roman" w:cstheme="minorHAnsi"/>
                <w:bCs/>
                <w:sz w:val="24"/>
                <w:szCs w:val="24"/>
              </w:rPr>
              <w:t>t</w:t>
            </w:r>
            <w:r w:rsidR="007C37DC" w:rsidRPr="004463F8">
              <w:rPr>
                <w:rFonts w:eastAsia="Times New Roman" w:cstheme="minorHAnsi"/>
                <w:bCs/>
                <w:sz w:val="24"/>
                <w:szCs w:val="24"/>
              </w:rPr>
              <w:t>he governance arrangements required for the PSB to effectively work together to deliver the plan</w:t>
            </w:r>
          </w:p>
        </w:tc>
        <w:tc>
          <w:tcPr>
            <w:tcW w:w="5097" w:type="dxa"/>
          </w:tcPr>
          <w:p w14:paraId="34D5CCA7" w14:textId="45AC9BE6" w:rsidR="007C37DC" w:rsidRDefault="004463F8" w:rsidP="007C37D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GSWAG Governance Group</w:t>
            </w:r>
          </w:p>
        </w:tc>
      </w:tr>
    </w:tbl>
    <w:p w14:paraId="284FB45E" w14:textId="77777777" w:rsidR="00906595" w:rsidRPr="006A629F" w:rsidRDefault="00906595" w:rsidP="0095202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0EFDBC6B" w14:textId="3EF53511" w:rsidR="00A90EC5" w:rsidRPr="006A629F" w:rsidRDefault="007B3C6D" w:rsidP="00952023">
      <w:pPr>
        <w:tabs>
          <w:tab w:val="left" w:pos="0"/>
        </w:tabs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6A629F">
        <w:rPr>
          <w:rFonts w:cstheme="minorHAnsi"/>
          <w:sz w:val="24"/>
          <w:szCs w:val="24"/>
        </w:rPr>
        <w:t>4</w:t>
      </w:r>
      <w:r w:rsidR="005A0027" w:rsidRPr="006A629F">
        <w:rPr>
          <w:rFonts w:cstheme="minorHAnsi"/>
          <w:sz w:val="24"/>
          <w:szCs w:val="24"/>
        </w:rPr>
        <w:t xml:space="preserve">. </w:t>
      </w:r>
      <w:r w:rsidR="005A0027" w:rsidRPr="006A629F">
        <w:rPr>
          <w:rFonts w:cstheme="minorHAnsi"/>
          <w:sz w:val="24"/>
          <w:szCs w:val="24"/>
        </w:rPr>
        <w:tab/>
      </w:r>
      <w:r w:rsidR="005A0027" w:rsidRPr="006A629F">
        <w:rPr>
          <w:rFonts w:cstheme="minorHAnsi"/>
          <w:b/>
          <w:bCs/>
          <w:sz w:val="24"/>
          <w:szCs w:val="24"/>
        </w:rPr>
        <w:t>RESOURCES</w:t>
      </w:r>
    </w:p>
    <w:p w14:paraId="20DCE883" w14:textId="77777777" w:rsidR="005A0027" w:rsidRPr="006A629F" w:rsidRDefault="005A0027" w:rsidP="00952023">
      <w:pPr>
        <w:tabs>
          <w:tab w:val="left" w:pos="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6510A5CE" w14:textId="736BD175" w:rsidR="008B0D7E" w:rsidRPr="006A629F" w:rsidRDefault="007B3C6D" w:rsidP="00952023">
      <w:pPr>
        <w:tabs>
          <w:tab w:val="left" w:pos="0"/>
        </w:tabs>
        <w:spacing w:after="0" w:line="240" w:lineRule="auto"/>
        <w:ind w:left="720" w:hanging="720"/>
        <w:rPr>
          <w:rFonts w:eastAsia="Times New Roman" w:cstheme="minorHAnsi"/>
          <w:sz w:val="24"/>
          <w:szCs w:val="24"/>
        </w:rPr>
      </w:pPr>
      <w:r w:rsidRPr="006A629F">
        <w:rPr>
          <w:rFonts w:cstheme="minorHAnsi"/>
          <w:sz w:val="24"/>
          <w:szCs w:val="24"/>
        </w:rPr>
        <w:t>4</w:t>
      </w:r>
      <w:r w:rsidR="00BF17A1" w:rsidRPr="006A629F">
        <w:rPr>
          <w:rFonts w:cstheme="minorHAnsi"/>
          <w:sz w:val="24"/>
          <w:szCs w:val="24"/>
        </w:rPr>
        <w:t xml:space="preserve">.1 </w:t>
      </w:r>
      <w:r w:rsidR="00BF17A1" w:rsidRPr="006A629F">
        <w:rPr>
          <w:rFonts w:cstheme="minorHAnsi"/>
          <w:sz w:val="24"/>
          <w:szCs w:val="24"/>
        </w:rPr>
        <w:tab/>
      </w:r>
      <w:r w:rsidR="00605CF1" w:rsidRPr="006A629F">
        <w:rPr>
          <w:rFonts w:eastAsia="Times New Roman" w:cstheme="minorHAnsi"/>
          <w:sz w:val="24"/>
          <w:szCs w:val="24"/>
        </w:rPr>
        <w:t>The</w:t>
      </w:r>
      <w:r w:rsidR="00CC191B" w:rsidRPr="006A629F">
        <w:rPr>
          <w:rFonts w:eastAsia="Times New Roman" w:cstheme="minorHAnsi"/>
          <w:sz w:val="24"/>
          <w:szCs w:val="24"/>
        </w:rPr>
        <w:t xml:space="preserve"> recommendations </w:t>
      </w:r>
      <w:r w:rsidR="00C02DF4">
        <w:rPr>
          <w:rFonts w:eastAsia="Times New Roman" w:cstheme="minorHAnsi"/>
          <w:sz w:val="24"/>
          <w:szCs w:val="24"/>
        </w:rPr>
        <w:t xml:space="preserve">will predominately </w:t>
      </w:r>
      <w:r w:rsidR="00CC191B" w:rsidRPr="006A629F">
        <w:rPr>
          <w:rFonts w:eastAsia="Times New Roman" w:cstheme="minorHAnsi"/>
          <w:sz w:val="24"/>
          <w:szCs w:val="24"/>
        </w:rPr>
        <w:t>be delivered within existing staff capacity</w:t>
      </w:r>
      <w:r w:rsidR="00C02DF4">
        <w:rPr>
          <w:rFonts w:eastAsia="Times New Roman" w:cstheme="minorHAnsi"/>
          <w:sz w:val="24"/>
          <w:szCs w:val="24"/>
        </w:rPr>
        <w:t xml:space="preserve">, however </w:t>
      </w:r>
      <w:r w:rsidR="00C02DF4" w:rsidRPr="00C02DF4">
        <w:rPr>
          <w:rFonts w:eastAsia="Times New Roman" w:cstheme="minorHAnsi"/>
          <w:sz w:val="24"/>
          <w:szCs w:val="24"/>
        </w:rPr>
        <w:t xml:space="preserve">additional resources </w:t>
      </w:r>
      <w:r w:rsidR="00C02DF4">
        <w:rPr>
          <w:rFonts w:eastAsia="Times New Roman" w:cstheme="minorHAnsi"/>
          <w:sz w:val="24"/>
          <w:szCs w:val="24"/>
        </w:rPr>
        <w:t xml:space="preserve">maybe required to deliver this approach. </w:t>
      </w:r>
      <w:r w:rsidR="00676F6C" w:rsidRPr="006A629F">
        <w:rPr>
          <w:rFonts w:eastAsia="Times New Roman" w:cstheme="minorHAnsi"/>
          <w:sz w:val="24"/>
          <w:szCs w:val="24"/>
        </w:rPr>
        <w:t xml:space="preserve"> </w:t>
      </w:r>
      <w:r w:rsidR="00B7742D" w:rsidRPr="006A629F">
        <w:rPr>
          <w:rFonts w:eastAsia="Times New Roman" w:cstheme="minorHAnsi"/>
          <w:sz w:val="24"/>
          <w:szCs w:val="24"/>
        </w:rPr>
        <w:t>W</w:t>
      </w:r>
      <w:r w:rsidR="00605CF1" w:rsidRPr="006A629F">
        <w:rPr>
          <w:rFonts w:eastAsia="Times New Roman" w:cstheme="minorHAnsi"/>
          <w:sz w:val="24"/>
          <w:szCs w:val="24"/>
        </w:rPr>
        <w:t>here addition</w:t>
      </w:r>
      <w:r w:rsidR="0084129A" w:rsidRPr="006A629F">
        <w:rPr>
          <w:rFonts w:eastAsia="Times New Roman" w:cstheme="minorHAnsi"/>
          <w:sz w:val="24"/>
          <w:szCs w:val="24"/>
        </w:rPr>
        <w:t>al</w:t>
      </w:r>
      <w:r w:rsidR="00605CF1" w:rsidRPr="006A629F">
        <w:rPr>
          <w:rFonts w:eastAsia="Times New Roman" w:cstheme="minorHAnsi"/>
          <w:sz w:val="24"/>
          <w:szCs w:val="24"/>
        </w:rPr>
        <w:t xml:space="preserve"> </w:t>
      </w:r>
      <w:r w:rsidR="00676F6C" w:rsidRPr="006A629F">
        <w:rPr>
          <w:rFonts w:eastAsia="Times New Roman" w:cstheme="minorHAnsi"/>
          <w:sz w:val="24"/>
          <w:szCs w:val="24"/>
        </w:rPr>
        <w:t xml:space="preserve">resource or </w:t>
      </w:r>
      <w:r w:rsidR="00605CF1" w:rsidRPr="006A629F">
        <w:rPr>
          <w:rFonts w:eastAsia="Times New Roman" w:cstheme="minorHAnsi"/>
          <w:sz w:val="24"/>
          <w:szCs w:val="24"/>
        </w:rPr>
        <w:t xml:space="preserve">funding </w:t>
      </w:r>
      <w:r w:rsidR="00676F6C" w:rsidRPr="006A629F">
        <w:rPr>
          <w:rFonts w:eastAsia="Times New Roman" w:cstheme="minorHAnsi"/>
          <w:sz w:val="24"/>
          <w:szCs w:val="24"/>
        </w:rPr>
        <w:t xml:space="preserve">may be </w:t>
      </w:r>
      <w:r w:rsidR="00605CF1" w:rsidRPr="006A629F">
        <w:rPr>
          <w:rFonts w:eastAsia="Times New Roman" w:cstheme="minorHAnsi"/>
          <w:sz w:val="24"/>
          <w:szCs w:val="24"/>
        </w:rPr>
        <w:t>required</w:t>
      </w:r>
      <w:r w:rsidR="00CC191B" w:rsidRPr="006A629F">
        <w:rPr>
          <w:rFonts w:eastAsia="Times New Roman" w:cstheme="minorHAnsi"/>
          <w:sz w:val="24"/>
          <w:szCs w:val="24"/>
        </w:rPr>
        <w:t xml:space="preserve"> </w:t>
      </w:r>
      <w:r w:rsidR="00952023" w:rsidRPr="006A629F">
        <w:rPr>
          <w:rFonts w:eastAsia="Times New Roman" w:cstheme="minorHAnsi"/>
          <w:sz w:val="24"/>
          <w:szCs w:val="24"/>
        </w:rPr>
        <w:t>because of</w:t>
      </w:r>
      <w:r w:rsidR="00CC191B" w:rsidRPr="006A629F">
        <w:rPr>
          <w:rFonts w:eastAsia="Times New Roman" w:cstheme="minorHAnsi"/>
          <w:sz w:val="24"/>
          <w:szCs w:val="24"/>
        </w:rPr>
        <w:t xml:space="preserve"> this</w:t>
      </w:r>
      <w:r w:rsidR="00B7742D" w:rsidRPr="006A629F">
        <w:rPr>
          <w:rFonts w:eastAsia="Times New Roman" w:cstheme="minorHAnsi"/>
          <w:sz w:val="24"/>
          <w:szCs w:val="24"/>
        </w:rPr>
        <w:t>,</w:t>
      </w:r>
      <w:r w:rsidR="00605CF1" w:rsidRPr="006A629F">
        <w:rPr>
          <w:rFonts w:eastAsia="Times New Roman" w:cstheme="minorHAnsi"/>
          <w:sz w:val="24"/>
          <w:szCs w:val="24"/>
        </w:rPr>
        <w:t xml:space="preserve"> costed recommendations will be made to the appropriate decision</w:t>
      </w:r>
      <w:r w:rsidR="00CC191B" w:rsidRPr="006A629F">
        <w:rPr>
          <w:rFonts w:eastAsia="Times New Roman" w:cstheme="minorHAnsi"/>
          <w:sz w:val="24"/>
          <w:szCs w:val="24"/>
        </w:rPr>
        <w:t>-</w:t>
      </w:r>
      <w:r w:rsidR="00605CF1" w:rsidRPr="006A629F">
        <w:rPr>
          <w:rFonts w:eastAsia="Times New Roman" w:cstheme="minorHAnsi"/>
          <w:sz w:val="24"/>
          <w:szCs w:val="24"/>
        </w:rPr>
        <w:t>maker</w:t>
      </w:r>
      <w:r w:rsidR="00B7742D" w:rsidRPr="006A629F">
        <w:rPr>
          <w:rFonts w:eastAsia="Times New Roman" w:cstheme="minorHAnsi"/>
          <w:sz w:val="24"/>
          <w:szCs w:val="24"/>
        </w:rPr>
        <w:t xml:space="preserve">. </w:t>
      </w:r>
      <w:r w:rsidR="00C02DF4" w:rsidRPr="00C02DF4">
        <w:rPr>
          <w:rFonts w:eastAsia="Times New Roman" w:cstheme="minorHAnsi"/>
          <w:sz w:val="24"/>
          <w:szCs w:val="24"/>
        </w:rPr>
        <w:t>The</w:t>
      </w:r>
      <w:r w:rsidR="00C02DF4">
        <w:rPr>
          <w:rFonts w:eastAsia="Times New Roman" w:cstheme="minorHAnsi"/>
          <w:sz w:val="24"/>
          <w:szCs w:val="24"/>
        </w:rPr>
        <w:t xml:space="preserve"> resourcing of the delivery of the outcome of this work will </w:t>
      </w:r>
      <w:r w:rsidR="00F10EBB">
        <w:rPr>
          <w:rFonts w:eastAsia="Times New Roman" w:cstheme="minorHAnsi"/>
          <w:sz w:val="24"/>
          <w:szCs w:val="24"/>
        </w:rPr>
        <w:t>require further</w:t>
      </w:r>
      <w:r w:rsidR="00C02DF4">
        <w:rPr>
          <w:rFonts w:eastAsia="Times New Roman" w:cstheme="minorHAnsi"/>
          <w:sz w:val="24"/>
          <w:szCs w:val="24"/>
        </w:rPr>
        <w:t xml:space="preserve"> consideration </w:t>
      </w:r>
      <w:r w:rsidR="00F10EBB">
        <w:rPr>
          <w:rFonts w:eastAsia="Times New Roman" w:cstheme="minorHAnsi"/>
          <w:sz w:val="24"/>
          <w:szCs w:val="24"/>
        </w:rPr>
        <w:t>by the PSB</w:t>
      </w:r>
      <w:r w:rsidR="0048039C">
        <w:rPr>
          <w:rFonts w:eastAsia="Times New Roman" w:cstheme="minorHAnsi"/>
          <w:sz w:val="24"/>
          <w:szCs w:val="24"/>
        </w:rPr>
        <w:t>.</w:t>
      </w:r>
    </w:p>
    <w:p w14:paraId="5D9DA6DA" w14:textId="0416D8F5" w:rsidR="00116FC5" w:rsidRPr="006A629F" w:rsidRDefault="00116FC5" w:rsidP="00952023">
      <w:pPr>
        <w:tabs>
          <w:tab w:val="left" w:pos="0"/>
        </w:tabs>
        <w:spacing w:after="0" w:line="240" w:lineRule="auto"/>
        <w:ind w:left="720" w:hanging="720"/>
        <w:rPr>
          <w:rFonts w:eastAsia="Times New Roman" w:cstheme="minorHAnsi"/>
          <w:sz w:val="24"/>
          <w:szCs w:val="24"/>
        </w:rPr>
      </w:pPr>
    </w:p>
    <w:p w14:paraId="0DFF914E" w14:textId="136F0397" w:rsidR="00116FC5" w:rsidRPr="006A629F" w:rsidRDefault="00116FC5" w:rsidP="00952023">
      <w:pPr>
        <w:spacing w:after="0" w:line="240" w:lineRule="auto"/>
        <w:ind w:left="720" w:hanging="720"/>
        <w:rPr>
          <w:rFonts w:eastAsia="Times New Roman" w:cstheme="minorHAnsi"/>
          <w:b/>
          <w:sz w:val="24"/>
          <w:szCs w:val="24"/>
        </w:rPr>
      </w:pPr>
      <w:r w:rsidRPr="006A629F">
        <w:rPr>
          <w:rFonts w:eastAsia="Times New Roman" w:cstheme="minorHAnsi"/>
          <w:b/>
          <w:sz w:val="24"/>
          <w:szCs w:val="24"/>
        </w:rPr>
        <w:t>5.</w:t>
      </w:r>
      <w:r w:rsidRPr="006A629F">
        <w:rPr>
          <w:rFonts w:eastAsia="Times New Roman" w:cstheme="minorHAnsi"/>
          <w:b/>
          <w:sz w:val="24"/>
          <w:szCs w:val="24"/>
        </w:rPr>
        <w:tab/>
        <w:t>RECOMMENDATIONS</w:t>
      </w:r>
    </w:p>
    <w:p w14:paraId="207622CC" w14:textId="77777777" w:rsidR="00116FC5" w:rsidRPr="006A629F" w:rsidRDefault="00116FC5" w:rsidP="00952023">
      <w:pPr>
        <w:spacing w:after="0" w:line="240" w:lineRule="auto"/>
        <w:ind w:left="720" w:hanging="720"/>
        <w:rPr>
          <w:rFonts w:eastAsia="Times New Roman" w:cstheme="minorHAnsi"/>
          <w:b/>
          <w:sz w:val="24"/>
          <w:szCs w:val="24"/>
        </w:rPr>
      </w:pPr>
      <w:r w:rsidRPr="006A629F">
        <w:rPr>
          <w:rFonts w:eastAsia="Times New Roman" w:cstheme="minorHAnsi"/>
          <w:b/>
          <w:sz w:val="24"/>
          <w:szCs w:val="24"/>
        </w:rPr>
        <w:tab/>
      </w:r>
    </w:p>
    <w:p w14:paraId="038F6F81" w14:textId="70E486BE" w:rsidR="00906595" w:rsidRPr="006A629F" w:rsidRDefault="00116FC5" w:rsidP="00952023">
      <w:pPr>
        <w:rPr>
          <w:rFonts w:ascii="Calibri" w:eastAsia="Calibri" w:hAnsi="Calibri" w:cs="Calibri"/>
          <w:sz w:val="24"/>
          <w:szCs w:val="24"/>
        </w:rPr>
      </w:pPr>
      <w:r w:rsidRPr="006A629F">
        <w:rPr>
          <w:rFonts w:eastAsia="Times New Roman" w:cstheme="minorHAnsi"/>
          <w:bCs/>
          <w:sz w:val="24"/>
          <w:szCs w:val="24"/>
        </w:rPr>
        <w:t xml:space="preserve">5.1 </w:t>
      </w:r>
      <w:r w:rsidRPr="006A629F">
        <w:rPr>
          <w:rFonts w:eastAsia="Times New Roman" w:cstheme="minorHAnsi"/>
          <w:bCs/>
          <w:sz w:val="24"/>
          <w:szCs w:val="24"/>
        </w:rPr>
        <w:tab/>
      </w:r>
      <w:r w:rsidR="009D57B2">
        <w:rPr>
          <w:rFonts w:eastAsia="Times New Roman" w:cstheme="minorHAnsi"/>
          <w:bCs/>
          <w:sz w:val="24"/>
          <w:szCs w:val="24"/>
        </w:rPr>
        <w:t>T</w:t>
      </w:r>
      <w:r w:rsidR="00906595" w:rsidRPr="006A629F">
        <w:rPr>
          <w:rFonts w:ascii="Calibri" w:eastAsia="Calibri" w:hAnsi="Calibri" w:cs="Calibri"/>
          <w:sz w:val="24"/>
          <w:szCs w:val="24"/>
        </w:rPr>
        <w:t xml:space="preserve">he PSB is asked to: </w:t>
      </w:r>
    </w:p>
    <w:p w14:paraId="66626392" w14:textId="63A32176" w:rsidR="00032ECC" w:rsidRDefault="009D57B2" w:rsidP="00952023">
      <w:pPr>
        <w:numPr>
          <w:ilvl w:val="0"/>
          <w:numId w:val="35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feedback</w:t>
      </w:r>
      <w:r w:rsidR="00032ECC">
        <w:rPr>
          <w:rFonts w:ascii="Calibri" w:eastAsia="Calibri" w:hAnsi="Calibri" w:cs="Calibri"/>
          <w:sz w:val="24"/>
          <w:szCs w:val="24"/>
        </w:rPr>
        <w:t xml:space="preserve"> and agree the proposed approach. </w:t>
      </w:r>
    </w:p>
    <w:p w14:paraId="699CAA9A" w14:textId="0B13177A" w:rsidR="00032ECC" w:rsidRDefault="00906595" w:rsidP="00952023">
      <w:pPr>
        <w:numPr>
          <w:ilvl w:val="0"/>
          <w:numId w:val="35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906595">
        <w:rPr>
          <w:rFonts w:ascii="Calibri" w:eastAsia="Calibri" w:hAnsi="Calibri" w:cs="Calibri"/>
          <w:sz w:val="24"/>
          <w:szCs w:val="24"/>
        </w:rPr>
        <w:t>Identify</w:t>
      </w:r>
      <w:r w:rsidR="00017A6E">
        <w:rPr>
          <w:rFonts w:ascii="Calibri" w:eastAsia="Calibri" w:hAnsi="Calibri" w:cs="Calibri"/>
          <w:sz w:val="24"/>
          <w:szCs w:val="24"/>
        </w:rPr>
        <w:t xml:space="preserve">/agree </w:t>
      </w:r>
      <w:r w:rsidR="009D57B2">
        <w:rPr>
          <w:rFonts w:ascii="Calibri" w:eastAsia="Calibri" w:hAnsi="Calibri" w:cs="Calibri"/>
          <w:sz w:val="24"/>
          <w:szCs w:val="24"/>
        </w:rPr>
        <w:t>leads</w:t>
      </w:r>
      <w:r w:rsidRPr="00906595">
        <w:rPr>
          <w:rFonts w:ascii="Calibri" w:eastAsia="Calibri" w:hAnsi="Calibri" w:cs="Calibri"/>
          <w:sz w:val="24"/>
          <w:szCs w:val="24"/>
        </w:rPr>
        <w:t xml:space="preserve"> </w:t>
      </w:r>
      <w:r w:rsidR="00032ECC">
        <w:rPr>
          <w:rFonts w:ascii="Calibri" w:eastAsia="Calibri" w:hAnsi="Calibri" w:cs="Calibri"/>
          <w:sz w:val="24"/>
          <w:szCs w:val="24"/>
        </w:rPr>
        <w:t xml:space="preserve">for the four </w:t>
      </w:r>
      <w:r w:rsidR="008D359B">
        <w:rPr>
          <w:rFonts w:ascii="Calibri" w:eastAsia="Calibri" w:hAnsi="Calibri" w:cs="Calibri"/>
          <w:sz w:val="24"/>
          <w:szCs w:val="24"/>
        </w:rPr>
        <w:t>A</w:t>
      </w:r>
      <w:r w:rsidR="00032ECC">
        <w:rPr>
          <w:rFonts w:ascii="Calibri" w:eastAsia="Calibri" w:hAnsi="Calibri" w:cs="Calibri"/>
          <w:sz w:val="24"/>
          <w:szCs w:val="24"/>
        </w:rPr>
        <w:t xml:space="preserve">reas of </w:t>
      </w:r>
      <w:r w:rsidR="008D359B">
        <w:rPr>
          <w:rFonts w:ascii="Calibri" w:eastAsia="Calibri" w:hAnsi="Calibri" w:cs="Calibri"/>
          <w:sz w:val="24"/>
          <w:szCs w:val="24"/>
        </w:rPr>
        <w:t>F</w:t>
      </w:r>
      <w:r w:rsidR="00032ECC">
        <w:rPr>
          <w:rFonts w:ascii="Calibri" w:eastAsia="Calibri" w:hAnsi="Calibri" w:cs="Calibri"/>
          <w:sz w:val="24"/>
          <w:szCs w:val="24"/>
        </w:rPr>
        <w:t>ocus.</w:t>
      </w:r>
    </w:p>
    <w:p w14:paraId="4AB09D58" w14:textId="50D167CE" w:rsidR="00032ECC" w:rsidRDefault="00032ECC" w:rsidP="00952023">
      <w:pPr>
        <w:numPr>
          <w:ilvl w:val="0"/>
          <w:numId w:val="35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Commit senior representation for the four areas of focus stakeholder </w:t>
      </w:r>
      <w:r w:rsidR="0024608B">
        <w:rPr>
          <w:rFonts w:ascii="Calibri" w:eastAsia="Calibri" w:hAnsi="Calibri" w:cs="Calibri"/>
          <w:sz w:val="24"/>
          <w:szCs w:val="24"/>
        </w:rPr>
        <w:t xml:space="preserve">steering groups and workshops. </w:t>
      </w:r>
    </w:p>
    <w:p w14:paraId="6F21AE32" w14:textId="2D3A39D0" w:rsidR="00116FC5" w:rsidRDefault="00116FC5" w:rsidP="00952023">
      <w:pPr>
        <w:spacing w:after="0" w:line="240" w:lineRule="auto"/>
        <w:ind w:left="720" w:hanging="720"/>
        <w:rPr>
          <w:rFonts w:eastAsia="Times New Roman" w:cstheme="minorHAnsi"/>
          <w:bCs/>
          <w:sz w:val="24"/>
          <w:szCs w:val="24"/>
        </w:rPr>
      </w:pPr>
    </w:p>
    <w:p w14:paraId="11650F7C" w14:textId="45430331" w:rsidR="009E6D7F" w:rsidRPr="0084129A" w:rsidRDefault="007B3C6D" w:rsidP="00952023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84129A">
        <w:rPr>
          <w:rFonts w:eastAsia="Calibri" w:cstheme="minorHAnsi"/>
          <w:b/>
          <w:sz w:val="24"/>
          <w:szCs w:val="24"/>
        </w:rPr>
        <w:t>6</w:t>
      </w:r>
      <w:r w:rsidR="002E394D" w:rsidRPr="0084129A">
        <w:rPr>
          <w:rFonts w:eastAsia="Calibri" w:cstheme="minorHAnsi"/>
          <w:b/>
          <w:sz w:val="24"/>
          <w:szCs w:val="24"/>
        </w:rPr>
        <w:t>.</w:t>
      </w:r>
      <w:r w:rsidR="002E394D" w:rsidRPr="0084129A">
        <w:rPr>
          <w:rFonts w:eastAsia="Calibri" w:cstheme="minorHAnsi"/>
          <w:b/>
          <w:sz w:val="24"/>
          <w:szCs w:val="24"/>
        </w:rPr>
        <w:tab/>
        <w:t>AUTHOR</w:t>
      </w:r>
      <w:r w:rsidR="005A0027" w:rsidRPr="0084129A">
        <w:rPr>
          <w:rFonts w:eastAsia="Calibri" w:cstheme="minorHAnsi"/>
          <w:b/>
          <w:sz w:val="24"/>
          <w:szCs w:val="24"/>
        </w:rPr>
        <w:t>S</w:t>
      </w:r>
      <w:r w:rsidR="00AA28D0" w:rsidRPr="0084129A">
        <w:rPr>
          <w:rFonts w:eastAsia="Calibri" w:cstheme="minorHAnsi"/>
          <w:b/>
          <w:sz w:val="24"/>
          <w:szCs w:val="24"/>
        </w:rPr>
        <w:t>:</w:t>
      </w:r>
      <w:r w:rsidR="00AA28D0" w:rsidRPr="0084129A">
        <w:rPr>
          <w:rFonts w:eastAsia="Calibri" w:cstheme="minorHAnsi"/>
          <w:b/>
          <w:sz w:val="24"/>
          <w:szCs w:val="24"/>
        </w:rPr>
        <w:tab/>
      </w:r>
    </w:p>
    <w:p w14:paraId="0895F038" w14:textId="6FD36807" w:rsidR="00BD352F" w:rsidRDefault="00067C5C" w:rsidP="00952023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Gwent Strategic Well-being Action Group</w:t>
      </w:r>
    </w:p>
    <w:p w14:paraId="7AE3A04D" w14:textId="77777777" w:rsidR="00BD352F" w:rsidRDefault="00BD352F" w:rsidP="0095202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18BCF83" w14:textId="77777777" w:rsidR="00BD352F" w:rsidRDefault="00BD352F" w:rsidP="0095202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224646E" w14:textId="77777777" w:rsidR="00BD352F" w:rsidRDefault="00BD352F" w:rsidP="0095202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2B92A1F" w14:textId="77777777" w:rsidR="00BD352F" w:rsidRDefault="00BD352F" w:rsidP="0095202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40C1D825" w14:textId="77777777" w:rsidR="00BD352F" w:rsidRDefault="00BD352F" w:rsidP="0095202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45838674" w14:textId="77777777" w:rsidR="00BD352F" w:rsidRDefault="00BD352F" w:rsidP="0095202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9A9594A" w14:textId="77777777" w:rsidR="00BD352F" w:rsidRDefault="00BD352F" w:rsidP="0095202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146BCFD" w14:textId="77777777" w:rsidR="00BD352F" w:rsidRDefault="00BD352F" w:rsidP="0095202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FF0EC4F" w14:textId="77777777" w:rsidR="00BD352F" w:rsidRDefault="00BD352F" w:rsidP="0095202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EA2753B" w14:textId="77777777" w:rsidR="00BD352F" w:rsidRDefault="00BD352F" w:rsidP="0095202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7ABF59B" w14:textId="00961B19" w:rsidR="00BD352F" w:rsidRPr="009D57B2" w:rsidRDefault="00BD352F" w:rsidP="00952023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607DCA">
        <w:rPr>
          <w:rFonts w:cstheme="minorHAnsi"/>
          <w:b/>
          <w:bCs/>
          <w:sz w:val="24"/>
          <w:szCs w:val="24"/>
        </w:rPr>
        <w:t>Appendix 1 – Process &amp; timeline</w:t>
      </w:r>
    </w:p>
    <w:p w14:paraId="3FFD0748" w14:textId="77777777" w:rsidR="006D3F72" w:rsidRDefault="006D3F72" w:rsidP="0095202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953"/>
        <w:gridCol w:w="1602"/>
        <w:gridCol w:w="2218"/>
      </w:tblGrid>
      <w:tr w:rsidR="00017A6E" w14:paraId="2046D1B7" w14:textId="77777777" w:rsidTr="0024608B">
        <w:tc>
          <w:tcPr>
            <w:tcW w:w="5953" w:type="dxa"/>
          </w:tcPr>
          <w:p w14:paraId="6D1D0003" w14:textId="65F9CCBE" w:rsidR="006832FC" w:rsidRPr="006832FC" w:rsidRDefault="006832FC" w:rsidP="009520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32FC">
              <w:rPr>
                <w:rFonts w:cstheme="minorHAnsi"/>
                <w:b/>
                <w:bCs/>
                <w:sz w:val="24"/>
                <w:szCs w:val="24"/>
              </w:rPr>
              <w:t>What</w:t>
            </w:r>
          </w:p>
        </w:tc>
        <w:tc>
          <w:tcPr>
            <w:tcW w:w="1602" w:type="dxa"/>
          </w:tcPr>
          <w:p w14:paraId="0C965A92" w14:textId="4BEE29CD" w:rsidR="006832FC" w:rsidRPr="006832FC" w:rsidRDefault="006832FC" w:rsidP="009520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32FC">
              <w:rPr>
                <w:rFonts w:cstheme="minorHAnsi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2218" w:type="dxa"/>
          </w:tcPr>
          <w:p w14:paraId="7F1D40AB" w14:textId="2A006C60" w:rsidR="006832FC" w:rsidRPr="006832FC" w:rsidRDefault="006832FC" w:rsidP="009520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32FC">
              <w:rPr>
                <w:rFonts w:cstheme="minorHAnsi"/>
                <w:b/>
                <w:bCs/>
                <w:sz w:val="24"/>
                <w:szCs w:val="24"/>
              </w:rPr>
              <w:t>Who</w:t>
            </w:r>
          </w:p>
        </w:tc>
      </w:tr>
      <w:tr w:rsidR="00017A6E" w14:paraId="6DCECA94" w14:textId="77777777" w:rsidTr="0024608B">
        <w:tc>
          <w:tcPr>
            <w:tcW w:w="5953" w:type="dxa"/>
          </w:tcPr>
          <w:p w14:paraId="57E81B0B" w14:textId="210862E7" w:rsidR="006832FC" w:rsidRDefault="000211BF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Establish GSWAG </w:t>
            </w:r>
            <w:r w:rsidR="004D2981">
              <w:rPr>
                <w:rFonts w:cstheme="minorHAnsi"/>
                <w:sz w:val="24"/>
                <w:szCs w:val="24"/>
              </w:rPr>
              <w:t>Governance</w:t>
            </w:r>
            <w:r>
              <w:rPr>
                <w:rFonts w:cstheme="minorHAnsi"/>
                <w:sz w:val="24"/>
                <w:szCs w:val="24"/>
              </w:rPr>
              <w:t xml:space="preserve"> Group</w:t>
            </w:r>
            <w:r w:rsidR="00607DCA">
              <w:rPr>
                <w:rFonts w:cstheme="minorHAnsi"/>
                <w:sz w:val="24"/>
                <w:szCs w:val="24"/>
              </w:rPr>
              <w:t xml:space="preserve"> to provide oversight and coordination to development of the delivery plan</w:t>
            </w:r>
            <w:r w:rsidR="00E90CC8">
              <w:rPr>
                <w:rFonts w:cstheme="minorHAnsi"/>
                <w:sz w:val="24"/>
                <w:szCs w:val="24"/>
              </w:rPr>
              <w:t xml:space="preserve"> and ensure integration of the four steering groups</w:t>
            </w:r>
          </w:p>
        </w:tc>
        <w:tc>
          <w:tcPr>
            <w:tcW w:w="1602" w:type="dxa"/>
          </w:tcPr>
          <w:p w14:paraId="7E624C5C" w14:textId="0E5D6243" w:rsidR="006832FC" w:rsidRDefault="00AB1918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December 23 (complete)</w:t>
            </w:r>
          </w:p>
        </w:tc>
        <w:tc>
          <w:tcPr>
            <w:tcW w:w="2218" w:type="dxa"/>
          </w:tcPr>
          <w:p w14:paraId="1C185DAF" w14:textId="3899DF33" w:rsidR="006832FC" w:rsidRDefault="004D2981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Nominated GSWAG officers</w:t>
            </w:r>
          </w:p>
        </w:tc>
      </w:tr>
      <w:tr w:rsidR="000211BF" w14:paraId="62E96CEE" w14:textId="77777777" w:rsidTr="0024608B">
        <w:trPr>
          <w:trHeight w:val="622"/>
        </w:trPr>
        <w:tc>
          <w:tcPr>
            <w:tcW w:w="5953" w:type="dxa"/>
          </w:tcPr>
          <w:p w14:paraId="77F75E33" w14:textId="4C278973" w:rsidR="004D2981" w:rsidRDefault="00607DCA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Governance group to d</w:t>
            </w:r>
            <w:r w:rsidR="000211BF">
              <w:rPr>
                <w:rFonts w:cstheme="minorHAnsi"/>
                <w:sz w:val="24"/>
                <w:szCs w:val="24"/>
              </w:rPr>
              <w:t>evelop</w:t>
            </w:r>
            <w:r w:rsidR="00050684">
              <w:rPr>
                <w:rFonts w:cstheme="minorHAnsi"/>
                <w:sz w:val="24"/>
                <w:szCs w:val="24"/>
              </w:rPr>
              <w:t xml:space="preserve"> a</w:t>
            </w:r>
            <w:r w:rsidR="004D2981">
              <w:rPr>
                <w:rFonts w:cstheme="minorHAnsi"/>
                <w:sz w:val="24"/>
                <w:szCs w:val="24"/>
              </w:rPr>
              <w:t>:</w:t>
            </w:r>
          </w:p>
          <w:p w14:paraId="75461D9D" w14:textId="2293BB35" w:rsidR="004D2981" w:rsidRDefault="000211BF" w:rsidP="004D2981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4D2981">
              <w:rPr>
                <w:rFonts w:cstheme="minorHAnsi"/>
                <w:sz w:val="24"/>
                <w:szCs w:val="24"/>
              </w:rPr>
              <w:t xml:space="preserve">methodology </w:t>
            </w:r>
          </w:p>
          <w:p w14:paraId="3155BE64" w14:textId="6FE40656" w:rsidR="00050684" w:rsidRPr="00050684" w:rsidRDefault="00050684" w:rsidP="0005068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050684">
              <w:rPr>
                <w:rFonts w:cstheme="minorHAnsi"/>
                <w:sz w:val="24"/>
                <w:szCs w:val="24"/>
              </w:rPr>
              <w:t>mapping</w:t>
            </w:r>
            <w:r w:rsidR="00607DCA">
              <w:rPr>
                <w:rFonts w:cstheme="minorHAnsi"/>
                <w:sz w:val="24"/>
                <w:szCs w:val="24"/>
              </w:rPr>
              <w:t xml:space="preserve"> template</w:t>
            </w:r>
          </w:p>
          <w:p w14:paraId="103541DF" w14:textId="77777777" w:rsidR="004D2981" w:rsidRPr="004D2981" w:rsidRDefault="000211BF" w:rsidP="004D2981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4D2981">
              <w:rPr>
                <w:rFonts w:cstheme="minorHAnsi"/>
                <w:sz w:val="24"/>
                <w:szCs w:val="24"/>
              </w:rPr>
              <w:t xml:space="preserve">matrix </w:t>
            </w:r>
          </w:p>
          <w:p w14:paraId="11DA5995" w14:textId="2FAB7F33" w:rsidR="000211BF" w:rsidRDefault="004D2981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assist with facilitating stakeholder</w:t>
            </w:r>
            <w:r w:rsidR="00050684">
              <w:rPr>
                <w:rFonts w:cstheme="minorHAnsi"/>
                <w:sz w:val="24"/>
                <w:szCs w:val="24"/>
              </w:rPr>
              <w:t xml:space="preserve"> steering</w:t>
            </w:r>
            <w:r>
              <w:rPr>
                <w:rFonts w:cstheme="minorHAnsi"/>
                <w:sz w:val="24"/>
                <w:szCs w:val="24"/>
              </w:rPr>
              <w:t xml:space="preserve"> group</w:t>
            </w:r>
            <w:r w:rsidR="00050684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602" w:type="dxa"/>
          </w:tcPr>
          <w:p w14:paraId="00AB58F0" w14:textId="3C43F4F5" w:rsidR="000211BF" w:rsidRDefault="00AB1918" w:rsidP="00952023">
            <w:pPr>
              <w:rPr>
                <w:rFonts w:cstheme="minorHAnsi"/>
                <w:sz w:val="24"/>
                <w:szCs w:val="24"/>
              </w:rPr>
            </w:pPr>
            <w:r w:rsidRPr="00AB1918">
              <w:rPr>
                <w:rFonts w:cstheme="minorHAnsi"/>
                <w:sz w:val="24"/>
                <w:szCs w:val="24"/>
              </w:rPr>
              <w:t xml:space="preserve">December 23 </w:t>
            </w:r>
          </w:p>
        </w:tc>
        <w:tc>
          <w:tcPr>
            <w:tcW w:w="2218" w:type="dxa"/>
          </w:tcPr>
          <w:p w14:paraId="487F9E51" w14:textId="721DCDC6" w:rsidR="000211BF" w:rsidRDefault="004D2981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GSWAG Governance group</w:t>
            </w:r>
          </w:p>
        </w:tc>
      </w:tr>
      <w:tr w:rsidR="004D2981" w14:paraId="71F249C5" w14:textId="77777777" w:rsidTr="0024608B">
        <w:trPr>
          <w:trHeight w:val="791"/>
        </w:trPr>
        <w:tc>
          <w:tcPr>
            <w:tcW w:w="5953" w:type="dxa"/>
          </w:tcPr>
          <w:p w14:paraId="57F0EF07" w14:textId="0E14235B" w:rsidR="004D2981" w:rsidRDefault="00C04DE1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set, date, </w:t>
            </w:r>
            <w:proofErr w:type="gramStart"/>
            <w:r>
              <w:rPr>
                <w:rFonts w:cstheme="minorHAnsi"/>
                <w:sz w:val="24"/>
                <w:szCs w:val="24"/>
              </w:rPr>
              <w:t>time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venues for </w:t>
            </w:r>
            <w:r w:rsidR="00793F84">
              <w:rPr>
                <w:rFonts w:cstheme="minorHAnsi"/>
                <w:sz w:val="24"/>
                <w:szCs w:val="24"/>
              </w:rPr>
              <w:t xml:space="preserve">the </w:t>
            </w:r>
            <w:r w:rsidR="00050684">
              <w:rPr>
                <w:rFonts w:cstheme="minorHAnsi"/>
                <w:sz w:val="24"/>
                <w:szCs w:val="24"/>
              </w:rPr>
              <w:t>four</w:t>
            </w:r>
            <w:r>
              <w:rPr>
                <w:rFonts w:cstheme="minorHAnsi"/>
                <w:sz w:val="24"/>
                <w:szCs w:val="24"/>
              </w:rPr>
              <w:t xml:space="preserve"> areas of focus stakeholder </w:t>
            </w:r>
            <w:r w:rsidR="00050684">
              <w:rPr>
                <w:rFonts w:cstheme="minorHAnsi"/>
                <w:sz w:val="24"/>
                <w:szCs w:val="24"/>
              </w:rPr>
              <w:t>workshops</w:t>
            </w:r>
          </w:p>
        </w:tc>
        <w:tc>
          <w:tcPr>
            <w:tcW w:w="1602" w:type="dxa"/>
          </w:tcPr>
          <w:p w14:paraId="510EB75C" w14:textId="50A5EC10" w:rsidR="004D2981" w:rsidRPr="00AB1918" w:rsidRDefault="00C04DE1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December 23</w:t>
            </w:r>
          </w:p>
        </w:tc>
        <w:tc>
          <w:tcPr>
            <w:tcW w:w="2218" w:type="dxa"/>
          </w:tcPr>
          <w:p w14:paraId="3C9D19C4" w14:textId="7A53CCE9" w:rsidR="004D2981" w:rsidRDefault="00C04DE1" w:rsidP="00952023">
            <w:pPr>
              <w:rPr>
                <w:rFonts w:cstheme="minorHAnsi"/>
                <w:sz w:val="24"/>
                <w:szCs w:val="24"/>
              </w:rPr>
            </w:pPr>
            <w:r w:rsidRPr="00C04DE1">
              <w:rPr>
                <w:rFonts w:cstheme="minorHAnsi"/>
                <w:sz w:val="24"/>
                <w:szCs w:val="24"/>
              </w:rPr>
              <w:t>GSWAG Governance group</w:t>
            </w:r>
          </w:p>
        </w:tc>
      </w:tr>
      <w:tr w:rsidR="00017A6E" w14:paraId="099CAD6B" w14:textId="77777777" w:rsidTr="0024608B">
        <w:trPr>
          <w:trHeight w:val="972"/>
        </w:trPr>
        <w:tc>
          <w:tcPr>
            <w:tcW w:w="5953" w:type="dxa"/>
          </w:tcPr>
          <w:p w14:paraId="313E7EF6" w14:textId="5AC22F8A" w:rsidR="006832FC" w:rsidRDefault="006832FC" w:rsidP="00952023">
            <w:pPr>
              <w:rPr>
                <w:rFonts w:cstheme="minorHAnsi"/>
                <w:sz w:val="24"/>
                <w:szCs w:val="24"/>
              </w:rPr>
            </w:pPr>
            <w:r w:rsidRPr="006832FC">
              <w:rPr>
                <w:rFonts w:cstheme="minorHAnsi"/>
                <w:sz w:val="24"/>
                <w:szCs w:val="24"/>
              </w:rPr>
              <w:t>Seek nominations from partners</w:t>
            </w:r>
            <w:r w:rsidR="000211BF">
              <w:rPr>
                <w:rFonts w:cstheme="minorHAnsi"/>
                <w:sz w:val="24"/>
                <w:szCs w:val="24"/>
              </w:rPr>
              <w:t xml:space="preserve"> for leads and participants on </w:t>
            </w:r>
            <w:r w:rsidR="00C04DE1">
              <w:rPr>
                <w:rFonts w:cstheme="minorHAnsi"/>
                <w:sz w:val="24"/>
                <w:szCs w:val="24"/>
              </w:rPr>
              <w:t xml:space="preserve">stakeholder </w:t>
            </w:r>
            <w:r w:rsidR="000211BF">
              <w:rPr>
                <w:rFonts w:cstheme="minorHAnsi"/>
                <w:sz w:val="24"/>
                <w:szCs w:val="24"/>
              </w:rPr>
              <w:t>steering</w:t>
            </w:r>
            <w:r w:rsidRPr="006832FC">
              <w:rPr>
                <w:rFonts w:cstheme="minorHAnsi"/>
                <w:sz w:val="24"/>
                <w:szCs w:val="24"/>
              </w:rPr>
              <w:t xml:space="preserve"> grou</w:t>
            </w:r>
            <w:r w:rsidR="000211BF">
              <w:rPr>
                <w:rFonts w:cstheme="minorHAnsi"/>
                <w:sz w:val="24"/>
                <w:szCs w:val="24"/>
              </w:rPr>
              <w:t>ps</w:t>
            </w:r>
            <w:r w:rsidRPr="006832FC">
              <w:rPr>
                <w:rFonts w:cstheme="minorHAnsi"/>
                <w:sz w:val="24"/>
                <w:szCs w:val="24"/>
              </w:rPr>
              <w:t xml:space="preserve"> align</w:t>
            </w:r>
            <w:r w:rsidR="000211BF">
              <w:rPr>
                <w:rFonts w:cstheme="minorHAnsi"/>
                <w:sz w:val="24"/>
                <w:szCs w:val="24"/>
              </w:rPr>
              <w:t>ed</w:t>
            </w:r>
            <w:r w:rsidRPr="006832FC">
              <w:rPr>
                <w:rFonts w:cstheme="minorHAnsi"/>
                <w:sz w:val="24"/>
                <w:szCs w:val="24"/>
              </w:rPr>
              <w:t xml:space="preserve"> with the </w:t>
            </w:r>
            <w:r w:rsidR="00050684">
              <w:rPr>
                <w:rFonts w:cstheme="minorHAnsi"/>
                <w:sz w:val="24"/>
                <w:szCs w:val="24"/>
              </w:rPr>
              <w:t xml:space="preserve">four </w:t>
            </w:r>
            <w:r w:rsidR="00344579">
              <w:rPr>
                <w:rFonts w:cstheme="minorHAnsi"/>
                <w:sz w:val="24"/>
                <w:szCs w:val="24"/>
              </w:rPr>
              <w:t>a</w:t>
            </w:r>
            <w:r w:rsidRPr="006832FC">
              <w:rPr>
                <w:rFonts w:cstheme="minorHAnsi"/>
                <w:sz w:val="24"/>
                <w:szCs w:val="24"/>
              </w:rPr>
              <w:t xml:space="preserve">reas of </w:t>
            </w:r>
            <w:r w:rsidR="00344579">
              <w:rPr>
                <w:rFonts w:cstheme="minorHAnsi"/>
                <w:sz w:val="24"/>
                <w:szCs w:val="24"/>
              </w:rPr>
              <w:t>f</w:t>
            </w:r>
            <w:r w:rsidRPr="006832FC">
              <w:rPr>
                <w:rFonts w:cstheme="minorHAnsi"/>
                <w:sz w:val="24"/>
                <w:szCs w:val="24"/>
              </w:rPr>
              <w:t xml:space="preserve">ocus </w:t>
            </w:r>
          </w:p>
        </w:tc>
        <w:tc>
          <w:tcPr>
            <w:tcW w:w="1602" w:type="dxa"/>
          </w:tcPr>
          <w:p w14:paraId="45996C1F" w14:textId="38438632" w:rsidR="006832FC" w:rsidRDefault="00AB1918" w:rsidP="00952023">
            <w:pPr>
              <w:rPr>
                <w:rFonts w:cstheme="minorHAnsi"/>
                <w:sz w:val="24"/>
                <w:szCs w:val="24"/>
              </w:rPr>
            </w:pPr>
            <w:r w:rsidRPr="00AB1918">
              <w:rPr>
                <w:rFonts w:cstheme="minorHAnsi"/>
                <w:sz w:val="24"/>
                <w:szCs w:val="24"/>
              </w:rPr>
              <w:t>December 23</w:t>
            </w:r>
          </w:p>
        </w:tc>
        <w:tc>
          <w:tcPr>
            <w:tcW w:w="2218" w:type="dxa"/>
          </w:tcPr>
          <w:p w14:paraId="29D5C96A" w14:textId="468F3BDC" w:rsidR="006832FC" w:rsidRDefault="00C04DE1" w:rsidP="00952023">
            <w:pPr>
              <w:rPr>
                <w:rFonts w:cstheme="minorHAnsi"/>
                <w:sz w:val="24"/>
                <w:szCs w:val="24"/>
              </w:rPr>
            </w:pPr>
            <w:r w:rsidRPr="00C04DE1">
              <w:rPr>
                <w:rFonts w:cstheme="minorHAnsi"/>
                <w:sz w:val="24"/>
                <w:szCs w:val="24"/>
              </w:rPr>
              <w:t>GSWAG Governance group</w:t>
            </w:r>
          </w:p>
        </w:tc>
      </w:tr>
      <w:tr w:rsidR="00017A6E" w14:paraId="57992F34" w14:textId="77777777" w:rsidTr="0024608B">
        <w:trPr>
          <w:trHeight w:val="433"/>
        </w:trPr>
        <w:tc>
          <w:tcPr>
            <w:tcW w:w="5953" w:type="dxa"/>
          </w:tcPr>
          <w:p w14:paraId="5AB5A767" w14:textId="67879A4F" w:rsidR="006832FC" w:rsidRDefault="0031483E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Agree </w:t>
            </w:r>
            <w:r w:rsidR="00C04DE1">
              <w:rPr>
                <w:rFonts w:cstheme="minorHAnsi"/>
                <w:sz w:val="24"/>
                <w:szCs w:val="24"/>
              </w:rPr>
              <w:t>approach</w:t>
            </w:r>
            <w:r>
              <w:rPr>
                <w:rFonts w:cstheme="minorHAnsi"/>
                <w:sz w:val="24"/>
                <w:szCs w:val="24"/>
              </w:rPr>
              <w:t xml:space="preserve"> and lead</w:t>
            </w:r>
            <w:r w:rsidR="00C04DE1">
              <w:rPr>
                <w:rFonts w:cstheme="minorHAnsi"/>
                <w:sz w:val="24"/>
                <w:szCs w:val="24"/>
              </w:rPr>
              <w:t xml:space="preserve"> nominations</w:t>
            </w:r>
            <w:r>
              <w:rPr>
                <w:rFonts w:cstheme="minorHAnsi"/>
                <w:sz w:val="24"/>
                <w:szCs w:val="24"/>
              </w:rPr>
              <w:t xml:space="preserve"> at PSB</w:t>
            </w:r>
          </w:p>
        </w:tc>
        <w:tc>
          <w:tcPr>
            <w:tcW w:w="1602" w:type="dxa"/>
          </w:tcPr>
          <w:p w14:paraId="05E409D7" w14:textId="2E899604" w:rsidR="006832FC" w:rsidRDefault="00AB1918" w:rsidP="00952023">
            <w:pPr>
              <w:rPr>
                <w:rFonts w:cstheme="minorHAnsi"/>
                <w:sz w:val="24"/>
                <w:szCs w:val="24"/>
              </w:rPr>
            </w:pPr>
            <w:r w:rsidRPr="00AB1918">
              <w:rPr>
                <w:rFonts w:cstheme="minorHAnsi"/>
                <w:sz w:val="24"/>
                <w:szCs w:val="24"/>
              </w:rPr>
              <w:t>December 23</w:t>
            </w:r>
          </w:p>
        </w:tc>
        <w:tc>
          <w:tcPr>
            <w:tcW w:w="2218" w:type="dxa"/>
          </w:tcPr>
          <w:p w14:paraId="185A3468" w14:textId="0E197E2E" w:rsidR="006832FC" w:rsidRDefault="00AB1918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PSB</w:t>
            </w:r>
          </w:p>
        </w:tc>
      </w:tr>
      <w:tr w:rsidR="000211BF" w14:paraId="3F43772F" w14:textId="77777777" w:rsidTr="0024608B">
        <w:trPr>
          <w:trHeight w:val="978"/>
        </w:trPr>
        <w:tc>
          <w:tcPr>
            <w:tcW w:w="5953" w:type="dxa"/>
          </w:tcPr>
          <w:p w14:paraId="62F2138E" w14:textId="5FC1BD6D" w:rsidR="000211BF" w:rsidRPr="006832FC" w:rsidRDefault="0031483E" w:rsidP="00C04D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31483E">
              <w:rPr>
                <w:rFonts w:cstheme="minorHAnsi"/>
                <w:sz w:val="24"/>
                <w:szCs w:val="24"/>
              </w:rPr>
              <w:t xml:space="preserve">omplete mapping work on a regional/sub-regional/local basis against the </w:t>
            </w:r>
            <w:r w:rsidR="00050684">
              <w:rPr>
                <w:rFonts w:cstheme="minorHAnsi"/>
                <w:sz w:val="24"/>
                <w:szCs w:val="24"/>
              </w:rPr>
              <w:t xml:space="preserve">four </w:t>
            </w:r>
            <w:r w:rsidR="00067C5C">
              <w:rPr>
                <w:rFonts w:cstheme="minorHAnsi"/>
                <w:sz w:val="24"/>
                <w:szCs w:val="24"/>
              </w:rPr>
              <w:t>a</w:t>
            </w:r>
            <w:r w:rsidRPr="0031483E">
              <w:rPr>
                <w:rFonts w:cstheme="minorHAnsi"/>
                <w:sz w:val="24"/>
                <w:szCs w:val="24"/>
              </w:rPr>
              <w:t xml:space="preserve">reas of </w:t>
            </w:r>
            <w:r w:rsidR="00067C5C">
              <w:rPr>
                <w:rFonts w:cstheme="minorHAnsi"/>
                <w:sz w:val="24"/>
                <w:szCs w:val="24"/>
              </w:rPr>
              <w:t>f</w:t>
            </w:r>
            <w:r w:rsidRPr="0031483E">
              <w:rPr>
                <w:rFonts w:cstheme="minorHAnsi"/>
                <w:sz w:val="24"/>
                <w:szCs w:val="24"/>
              </w:rPr>
              <w:t xml:space="preserve">ocus </w:t>
            </w:r>
            <w:r w:rsidR="00050684">
              <w:rPr>
                <w:rFonts w:cstheme="minorHAnsi"/>
                <w:sz w:val="24"/>
                <w:szCs w:val="24"/>
              </w:rPr>
              <w:t>(methodology and t</w:t>
            </w:r>
            <w:r w:rsidR="00C04DE1">
              <w:rPr>
                <w:rFonts w:cstheme="minorHAnsi"/>
                <w:sz w:val="24"/>
                <w:szCs w:val="24"/>
              </w:rPr>
              <w:t>emplate to be developed</w:t>
            </w:r>
            <w:r w:rsidR="0005068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7BE5190E" w14:textId="5F6139A2" w:rsidR="000211BF" w:rsidRDefault="00AB1918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24</w:t>
            </w:r>
          </w:p>
        </w:tc>
        <w:tc>
          <w:tcPr>
            <w:tcW w:w="2218" w:type="dxa"/>
          </w:tcPr>
          <w:p w14:paraId="1EFF3290" w14:textId="19D41292" w:rsidR="000211BF" w:rsidRDefault="00C04DE1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Stakeholder </w:t>
            </w:r>
            <w:r w:rsidR="00AB1918">
              <w:rPr>
                <w:rFonts w:cstheme="minorHAnsi"/>
                <w:sz w:val="24"/>
                <w:szCs w:val="24"/>
              </w:rPr>
              <w:t>Steering group</w:t>
            </w:r>
          </w:p>
        </w:tc>
      </w:tr>
      <w:tr w:rsidR="00017A6E" w14:paraId="6B2DAF52" w14:textId="77777777" w:rsidTr="0024608B">
        <w:trPr>
          <w:trHeight w:val="977"/>
        </w:trPr>
        <w:tc>
          <w:tcPr>
            <w:tcW w:w="5953" w:type="dxa"/>
          </w:tcPr>
          <w:p w14:paraId="2AB4CB4A" w14:textId="069D3AFB" w:rsidR="006832FC" w:rsidRDefault="00C04DE1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Undertake a</w:t>
            </w:r>
            <w:r w:rsidR="0031483E" w:rsidRPr="0031483E">
              <w:rPr>
                <w:rFonts w:cstheme="minorHAnsi"/>
                <w:sz w:val="24"/>
                <w:szCs w:val="24"/>
              </w:rPr>
              <w:t xml:space="preserve">nalysis of the mapping work </w:t>
            </w:r>
            <w:r>
              <w:rPr>
                <w:rFonts w:cstheme="minorHAnsi"/>
                <w:sz w:val="24"/>
                <w:szCs w:val="24"/>
              </w:rPr>
              <w:t xml:space="preserve">against the </w:t>
            </w:r>
            <w:r w:rsidR="00067C5C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 xml:space="preserve">ell-being </w:t>
            </w:r>
            <w:r w:rsidR="00067C5C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lan/</w:t>
            </w:r>
            <w:r w:rsidR="00067C5C">
              <w:rPr>
                <w:rFonts w:cstheme="minorHAnsi"/>
                <w:sz w:val="24"/>
                <w:szCs w:val="24"/>
              </w:rPr>
              <w:t xml:space="preserve">Building a </w:t>
            </w:r>
            <w:proofErr w:type="gramStart"/>
            <w:r w:rsidR="00067C5C">
              <w:rPr>
                <w:rFonts w:cstheme="minorHAnsi"/>
                <w:sz w:val="24"/>
                <w:szCs w:val="24"/>
              </w:rPr>
              <w:t>Fairer Gwent recommendations</w:t>
            </w:r>
            <w:proofErr w:type="gramEnd"/>
            <w:r w:rsidR="00067C5C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(using the matrix). </w:t>
            </w:r>
          </w:p>
        </w:tc>
        <w:tc>
          <w:tcPr>
            <w:tcW w:w="1602" w:type="dxa"/>
          </w:tcPr>
          <w:p w14:paraId="74E790D9" w14:textId="42B59B03" w:rsidR="006832FC" w:rsidRDefault="00017A6E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24</w:t>
            </w:r>
          </w:p>
        </w:tc>
        <w:tc>
          <w:tcPr>
            <w:tcW w:w="2218" w:type="dxa"/>
          </w:tcPr>
          <w:p w14:paraId="72ACD329" w14:textId="3401BFFA" w:rsidR="00AB1918" w:rsidRDefault="00C04DE1" w:rsidP="00AB1918">
            <w:pPr>
              <w:rPr>
                <w:rFonts w:cstheme="minorHAnsi"/>
                <w:sz w:val="24"/>
                <w:szCs w:val="24"/>
              </w:rPr>
            </w:pPr>
            <w:r w:rsidRPr="00C04DE1">
              <w:rPr>
                <w:rFonts w:cstheme="minorHAnsi"/>
                <w:sz w:val="24"/>
                <w:szCs w:val="24"/>
              </w:rPr>
              <w:t>GSWAG Governance group</w:t>
            </w:r>
            <w:r w:rsidR="00E90CC8" w:rsidRPr="00C04DE1">
              <w:rPr>
                <w:rFonts w:cstheme="minorHAnsi"/>
                <w:sz w:val="24"/>
                <w:szCs w:val="24"/>
              </w:rPr>
              <w:t xml:space="preserve"> </w:t>
            </w:r>
            <w:r w:rsidR="00E90CC8">
              <w:rPr>
                <w:rFonts w:cstheme="minorHAnsi"/>
                <w:sz w:val="24"/>
                <w:szCs w:val="24"/>
              </w:rPr>
              <w:t xml:space="preserve">&amp; </w:t>
            </w:r>
            <w:r w:rsidR="00E90CC8" w:rsidRPr="00C04DE1">
              <w:rPr>
                <w:rFonts w:cstheme="minorHAnsi"/>
                <w:sz w:val="24"/>
                <w:szCs w:val="24"/>
              </w:rPr>
              <w:t>Stakeholder Steering group</w:t>
            </w:r>
          </w:p>
        </w:tc>
      </w:tr>
      <w:tr w:rsidR="0031483E" w14:paraId="462A3AF8" w14:textId="77777777" w:rsidTr="0024608B">
        <w:trPr>
          <w:trHeight w:val="1002"/>
        </w:trPr>
        <w:tc>
          <w:tcPr>
            <w:tcW w:w="5953" w:type="dxa"/>
          </w:tcPr>
          <w:p w14:paraId="26A5F322" w14:textId="26C9D3B9" w:rsidR="0031483E" w:rsidRPr="0031483E" w:rsidRDefault="00F10310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Hold </w:t>
            </w:r>
            <w:r w:rsidRPr="00F10310">
              <w:rPr>
                <w:rFonts w:cstheme="minorHAnsi"/>
                <w:sz w:val="24"/>
                <w:szCs w:val="24"/>
              </w:rPr>
              <w:t>partner/stakeholder</w:t>
            </w:r>
            <w:r w:rsidR="00607DCA">
              <w:rPr>
                <w:rFonts w:cstheme="minorHAnsi"/>
                <w:sz w:val="24"/>
                <w:szCs w:val="24"/>
              </w:rPr>
              <w:t xml:space="preserve"> workshops</w:t>
            </w:r>
            <w:r>
              <w:rPr>
                <w:rFonts w:cstheme="minorHAnsi"/>
                <w:sz w:val="24"/>
                <w:szCs w:val="24"/>
              </w:rPr>
              <w:t xml:space="preserve"> for each of the </w:t>
            </w:r>
            <w:r w:rsidR="00050684">
              <w:rPr>
                <w:rFonts w:cstheme="minorHAnsi"/>
                <w:sz w:val="24"/>
                <w:szCs w:val="24"/>
              </w:rPr>
              <w:t>four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67C5C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reas of </w:t>
            </w:r>
            <w:r w:rsidR="00067C5C"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>ocus</w:t>
            </w:r>
            <w:r w:rsidR="00607DCA">
              <w:rPr>
                <w:rFonts w:cstheme="minorHAnsi"/>
                <w:sz w:val="24"/>
                <w:szCs w:val="24"/>
              </w:rPr>
              <w:t>. Including PSB &amp; LDG representatives.</w:t>
            </w:r>
            <w:r>
              <w:rPr>
                <w:rFonts w:cstheme="minorHAnsi"/>
                <w:sz w:val="24"/>
                <w:szCs w:val="24"/>
              </w:rPr>
              <w:t xml:space="preserve"> (informed by mapping exercise</w:t>
            </w:r>
            <w:r w:rsidR="00C04DE1">
              <w:rPr>
                <w:rFonts w:cstheme="minorHAnsi"/>
                <w:sz w:val="24"/>
                <w:szCs w:val="24"/>
              </w:rPr>
              <w:t xml:space="preserve"> and matrix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476D3299" w14:textId="59C6EE9D" w:rsidR="0031483E" w:rsidRDefault="00050684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February</w:t>
            </w:r>
            <w:r w:rsidR="00017A6E">
              <w:rPr>
                <w:rFonts w:cstheme="minorHAnsi"/>
                <w:sz w:val="24"/>
                <w:szCs w:val="24"/>
              </w:rPr>
              <w:t xml:space="preserve"> 24</w:t>
            </w:r>
          </w:p>
        </w:tc>
        <w:tc>
          <w:tcPr>
            <w:tcW w:w="2218" w:type="dxa"/>
          </w:tcPr>
          <w:p w14:paraId="433AE9DA" w14:textId="57244B55" w:rsidR="0031483E" w:rsidRDefault="00C04DE1" w:rsidP="00952023">
            <w:pPr>
              <w:rPr>
                <w:rFonts w:cstheme="minorHAnsi"/>
                <w:sz w:val="24"/>
                <w:szCs w:val="24"/>
              </w:rPr>
            </w:pPr>
            <w:r w:rsidRPr="00C04DE1">
              <w:rPr>
                <w:rFonts w:cstheme="minorHAnsi"/>
                <w:sz w:val="24"/>
                <w:szCs w:val="24"/>
              </w:rPr>
              <w:t>Stakeholder Steering group</w:t>
            </w:r>
          </w:p>
        </w:tc>
      </w:tr>
      <w:tr w:rsidR="00F10310" w14:paraId="1DE7DF62" w14:textId="77777777" w:rsidTr="0024608B">
        <w:trPr>
          <w:trHeight w:val="1825"/>
        </w:trPr>
        <w:tc>
          <w:tcPr>
            <w:tcW w:w="5953" w:type="dxa"/>
          </w:tcPr>
          <w:p w14:paraId="10441325" w14:textId="63C58408" w:rsidR="007C37DC" w:rsidRDefault="00EB25D6" w:rsidP="007C37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Analyse the outcome of the mapping and partner/stakeholder </w:t>
            </w:r>
            <w:r w:rsidR="00607DCA">
              <w:rPr>
                <w:rFonts w:cstheme="minorHAnsi"/>
                <w:sz w:val="24"/>
                <w:szCs w:val="24"/>
              </w:rPr>
              <w:t>workshop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B25D6">
              <w:rPr>
                <w:rFonts w:cstheme="minorHAnsi"/>
                <w:sz w:val="24"/>
                <w:szCs w:val="24"/>
              </w:rPr>
              <w:t>to identify</w:t>
            </w:r>
            <w:r w:rsidR="007C37DC">
              <w:rPr>
                <w:rFonts w:cstheme="minorHAnsi"/>
                <w:sz w:val="24"/>
                <w:szCs w:val="24"/>
              </w:rPr>
              <w:t xml:space="preserve"> </w:t>
            </w:r>
            <w:r w:rsidRPr="00EB25D6">
              <w:rPr>
                <w:rFonts w:cstheme="minorHAnsi"/>
                <w:sz w:val="24"/>
                <w:szCs w:val="24"/>
              </w:rPr>
              <w:t xml:space="preserve">potential opportunities for regional </w:t>
            </w:r>
            <w:r w:rsidR="007C37DC">
              <w:rPr>
                <w:rFonts w:cstheme="minorHAnsi"/>
                <w:sz w:val="24"/>
                <w:szCs w:val="24"/>
              </w:rPr>
              <w:t>delivery</w:t>
            </w:r>
            <w:r w:rsidRPr="00EB25D6">
              <w:rPr>
                <w:rFonts w:cstheme="minorHAnsi"/>
                <w:sz w:val="24"/>
                <w:szCs w:val="24"/>
              </w:rPr>
              <w:t xml:space="preserve"> which </w:t>
            </w:r>
            <w:r w:rsidR="007C37DC">
              <w:rPr>
                <w:rFonts w:cstheme="minorHAnsi"/>
                <w:sz w:val="24"/>
                <w:szCs w:val="24"/>
              </w:rPr>
              <w:t xml:space="preserve">will </w:t>
            </w:r>
            <w:r>
              <w:rPr>
                <w:rFonts w:cstheme="minorHAnsi"/>
                <w:sz w:val="24"/>
                <w:szCs w:val="24"/>
              </w:rPr>
              <w:t>meet the PSB ambition</w:t>
            </w:r>
            <w:r w:rsidRPr="00EB25D6">
              <w:rPr>
                <w:rFonts w:cstheme="minorHAnsi"/>
                <w:sz w:val="24"/>
                <w:szCs w:val="24"/>
              </w:rPr>
              <w:t xml:space="preserve"> and </w:t>
            </w:r>
            <w:r w:rsidR="007C37DC">
              <w:rPr>
                <w:rFonts w:cstheme="minorHAnsi"/>
                <w:sz w:val="24"/>
                <w:szCs w:val="24"/>
              </w:rPr>
              <w:t>in</w:t>
            </w:r>
            <w:r w:rsidRPr="00EB25D6">
              <w:rPr>
                <w:rFonts w:cstheme="minorHAnsi"/>
                <w:sz w:val="24"/>
                <w:szCs w:val="24"/>
              </w:rPr>
              <w:t>form the Delivery Plan</w:t>
            </w:r>
            <w:r w:rsidR="007C37DC">
              <w:rPr>
                <w:rFonts w:cstheme="minorHAnsi"/>
                <w:sz w:val="24"/>
                <w:szCs w:val="24"/>
              </w:rPr>
              <w:t xml:space="preserve"> for Gwent and Local Delivery Groups (</w:t>
            </w:r>
            <w:r w:rsidR="007C37DC" w:rsidRPr="007C37DC">
              <w:rPr>
                <w:rFonts w:cstheme="minorHAnsi"/>
                <w:sz w:val="24"/>
                <w:szCs w:val="24"/>
              </w:rPr>
              <w:t>in the matrix</w:t>
            </w:r>
            <w:r w:rsidR="007C37DC">
              <w:rPr>
                <w:rFonts w:cstheme="minorHAnsi"/>
                <w:sz w:val="24"/>
                <w:szCs w:val="24"/>
              </w:rPr>
              <w:t xml:space="preserve">). Look at </w:t>
            </w:r>
            <w:proofErr w:type="gramStart"/>
            <w:r w:rsidR="007C37DC">
              <w:rPr>
                <w:rFonts w:cstheme="minorHAnsi"/>
                <w:sz w:val="24"/>
                <w:szCs w:val="24"/>
              </w:rPr>
              <w:t>short, medium and long term</w:t>
            </w:r>
            <w:proofErr w:type="gramEnd"/>
            <w:r w:rsidR="007C37DC">
              <w:rPr>
                <w:rFonts w:cstheme="minorHAnsi"/>
                <w:sz w:val="24"/>
                <w:szCs w:val="24"/>
              </w:rPr>
              <w:t xml:space="preserve"> delivery. </w:t>
            </w:r>
          </w:p>
        </w:tc>
        <w:tc>
          <w:tcPr>
            <w:tcW w:w="1602" w:type="dxa"/>
          </w:tcPr>
          <w:p w14:paraId="1E9F1C54" w14:textId="3F46F3C9" w:rsidR="00F10310" w:rsidRDefault="00017A6E" w:rsidP="00952023">
            <w:pPr>
              <w:rPr>
                <w:rFonts w:cstheme="minorHAnsi"/>
                <w:sz w:val="24"/>
                <w:szCs w:val="24"/>
              </w:rPr>
            </w:pPr>
            <w:r w:rsidRPr="00017A6E">
              <w:rPr>
                <w:rFonts w:cstheme="minorHAnsi"/>
                <w:sz w:val="24"/>
                <w:szCs w:val="24"/>
              </w:rPr>
              <w:t>February 24</w:t>
            </w:r>
          </w:p>
        </w:tc>
        <w:tc>
          <w:tcPr>
            <w:tcW w:w="2218" w:type="dxa"/>
          </w:tcPr>
          <w:p w14:paraId="590E8A98" w14:textId="1A2B78B7" w:rsidR="00F10310" w:rsidRDefault="007C37DC" w:rsidP="00952023">
            <w:pPr>
              <w:rPr>
                <w:rFonts w:cstheme="minorHAnsi"/>
                <w:sz w:val="24"/>
                <w:szCs w:val="24"/>
              </w:rPr>
            </w:pPr>
            <w:r w:rsidRPr="007C37DC">
              <w:rPr>
                <w:rFonts w:cstheme="minorHAnsi"/>
                <w:sz w:val="24"/>
                <w:szCs w:val="24"/>
              </w:rPr>
              <w:t>GSWAG Governance group</w:t>
            </w:r>
            <w:r w:rsidR="00E90CC8">
              <w:rPr>
                <w:rFonts w:cstheme="minorHAnsi"/>
                <w:sz w:val="24"/>
                <w:szCs w:val="24"/>
              </w:rPr>
              <w:t xml:space="preserve"> &amp; </w:t>
            </w:r>
            <w:r w:rsidR="00E90CC8" w:rsidRPr="00C04DE1">
              <w:rPr>
                <w:rFonts w:cstheme="minorHAnsi"/>
                <w:sz w:val="24"/>
                <w:szCs w:val="24"/>
              </w:rPr>
              <w:t>Stakeholder Steering group</w:t>
            </w:r>
          </w:p>
        </w:tc>
      </w:tr>
      <w:tr w:rsidR="00AB1918" w14:paraId="750BE115" w14:textId="77777777" w:rsidTr="0024608B">
        <w:trPr>
          <w:trHeight w:val="710"/>
        </w:trPr>
        <w:tc>
          <w:tcPr>
            <w:tcW w:w="5953" w:type="dxa"/>
          </w:tcPr>
          <w:p w14:paraId="13FD4766" w14:textId="2D15F105" w:rsidR="00AB1918" w:rsidRDefault="00AB1918" w:rsidP="00952023">
            <w:pPr>
              <w:rPr>
                <w:rFonts w:cstheme="minorHAnsi"/>
                <w:sz w:val="24"/>
                <w:szCs w:val="24"/>
              </w:rPr>
            </w:pPr>
            <w:r w:rsidRPr="00AB1918">
              <w:rPr>
                <w:rFonts w:cstheme="minorHAnsi"/>
                <w:sz w:val="24"/>
                <w:szCs w:val="24"/>
              </w:rPr>
              <w:t>Formulate draft Delivery Plan</w:t>
            </w:r>
            <w:r w:rsidR="007C37DC">
              <w:rPr>
                <w:rFonts w:cstheme="minorHAnsi"/>
                <w:sz w:val="24"/>
                <w:szCs w:val="24"/>
              </w:rPr>
              <w:t xml:space="preserve"> and complete impact assessment.</w:t>
            </w:r>
          </w:p>
        </w:tc>
        <w:tc>
          <w:tcPr>
            <w:tcW w:w="1602" w:type="dxa"/>
          </w:tcPr>
          <w:p w14:paraId="76A8BF0F" w14:textId="4DD1E172" w:rsidR="00AB1918" w:rsidRDefault="00017A6E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24</w:t>
            </w:r>
          </w:p>
        </w:tc>
        <w:tc>
          <w:tcPr>
            <w:tcW w:w="2218" w:type="dxa"/>
          </w:tcPr>
          <w:p w14:paraId="42B6ACB1" w14:textId="4D478326" w:rsidR="00AB1918" w:rsidRDefault="007C37DC" w:rsidP="00952023">
            <w:pPr>
              <w:rPr>
                <w:rFonts w:cstheme="minorHAnsi"/>
                <w:sz w:val="24"/>
                <w:szCs w:val="24"/>
              </w:rPr>
            </w:pPr>
            <w:r w:rsidRPr="007C37DC">
              <w:rPr>
                <w:rFonts w:cstheme="minorHAnsi"/>
                <w:sz w:val="24"/>
                <w:szCs w:val="24"/>
              </w:rPr>
              <w:t>GSWAG Governance group</w:t>
            </w:r>
            <w:r>
              <w:rPr>
                <w:rFonts w:cstheme="minorHAnsi"/>
                <w:sz w:val="24"/>
                <w:szCs w:val="24"/>
              </w:rPr>
              <w:t xml:space="preserve"> &amp; Stakeholder Steering Group</w:t>
            </w:r>
          </w:p>
        </w:tc>
      </w:tr>
      <w:tr w:rsidR="00AB1918" w14:paraId="4467E8FB" w14:textId="77777777" w:rsidTr="0024608B">
        <w:tc>
          <w:tcPr>
            <w:tcW w:w="5953" w:type="dxa"/>
          </w:tcPr>
          <w:p w14:paraId="04DF00DF" w14:textId="133A9E34" w:rsidR="00AB1918" w:rsidRDefault="00DB491B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To present draft delivery plan to PSB to</w:t>
            </w:r>
            <w:r w:rsidRPr="00DB491B">
              <w:rPr>
                <w:rFonts w:cstheme="minorHAnsi"/>
                <w:sz w:val="24"/>
                <w:szCs w:val="24"/>
              </w:rPr>
              <w:t xml:space="preserve"> consider project priority, resource implications and next steps. (</w:t>
            </w:r>
            <w:r>
              <w:rPr>
                <w:rFonts w:cstheme="minorHAnsi"/>
                <w:sz w:val="24"/>
                <w:szCs w:val="24"/>
              </w:rPr>
              <w:t>Delivery plan to</w:t>
            </w:r>
            <w:r w:rsidRPr="00DB491B">
              <w:rPr>
                <w:rFonts w:cstheme="minorHAnsi"/>
                <w:sz w:val="24"/>
                <w:szCs w:val="24"/>
              </w:rPr>
              <w:t xml:space="preserve"> also be presented to PSB scrutiny prior to the PSB)</w:t>
            </w:r>
          </w:p>
        </w:tc>
        <w:tc>
          <w:tcPr>
            <w:tcW w:w="1602" w:type="dxa"/>
          </w:tcPr>
          <w:p w14:paraId="7A310EC0" w14:textId="411927E6" w:rsidR="00AB1918" w:rsidRDefault="00DB491B" w:rsidP="00952023">
            <w:pPr>
              <w:rPr>
                <w:rFonts w:cstheme="minorHAnsi"/>
                <w:sz w:val="24"/>
                <w:szCs w:val="24"/>
              </w:rPr>
            </w:pPr>
            <w:r w:rsidRPr="00DB491B">
              <w:rPr>
                <w:rFonts w:cstheme="minorHAnsi"/>
                <w:sz w:val="24"/>
                <w:szCs w:val="24"/>
              </w:rPr>
              <w:t>March 24</w:t>
            </w:r>
          </w:p>
        </w:tc>
        <w:tc>
          <w:tcPr>
            <w:tcW w:w="2218" w:type="dxa"/>
          </w:tcPr>
          <w:p w14:paraId="470FCE3E" w14:textId="64B9F8A1" w:rsidR="00AB1918" w:rsidRDefault="00DB491B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PSB &amp; PSB scrutiny</w:t>
            </w:r>
          </w:p>
        </w:tc>
      </w:tr>
      <w:tr w:rsidR="00017A6E" w14:paraId="75C5AA81" w14:textId="77777777" w:rsidTr="0024608B">
        <w:tc>
          <w:tcPr>
            <w:tcW w:w="5953" w:type="dxa"/>
          </w:tcPr>
          <w:p w14:paraId="52ABDE7D" w14:textId="7785BD80" w:rsidR="006832FC" w:rsidRDefault="007C37DC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Once agreed, embed within Performance Management Framework. </w:t>
            </w:r>
          </w:p>
        </w:tc>
        <w:tc>
          <w:tcPr>
            <w:tcW w:w="1602" w:type="dxa"/>
          </w:tcPr>
          <w:p w14:paraId="26834B70" w14:textId="57A0D604" w:rsidR="006832FC" w:rsidRDefault="007C37DC" w:rsidP="009520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Ongoing </w:t>
            </w:r>
          </w:p>
        </w:tc>
        <w:tc>
          <w:tcPr>
            <w:tcW w:w="2218" w:type="dxa"/>
          </w:tcPr>
          <w:p w14:paraId="15F1BBFE" w14:textId="77777777" w:rsidR="006832FC" w:rsidRDefault="006832FC" w:rsidP="009520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274A58" w14:textId="77777777" w:rsidR="009D57B2" w:rsidRDefault="009D57B2" w:rsidP="00032ECC">
      <w:pPr>
        <w:spacing w:after="0" w:line="240" w:lineRule="auto"/>
        <w:rPr>
          <w:rFonts w:cstheme="minorHAnsi"/>
          <w:sz w:val="24"/>
          <w:szCs w:val="24"/>
        </w:rPr>
      </w:pPr>
    </w:p>
    <w:sectPr w:rsidR="009D57B2" w:rsidSect="00CF5EA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9AD1" w14:textId="77777777" w:rsidR="00E00284" w:rsidRDefault="00E00284">
      <w:pPr>
        <w:spacing w:after="0" w:line="240" w:lineRule="auto"/>
      </w:pPr>
      <w:r>
        <w:separator/>
      </w:r>
    </w:p>
  </w:endnote>
  <w:endnote w:type="continuationSeparator" w:id="0">
    <w:p w14:paraId="4FC56F53" w14:textId="77777777" w:rsidR="00E00284" w:rsidRDefault="00E0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004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1F93C" w14:textId="77777777" w:rsidR="0048039C" w:rsidRDefault="00AE5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833D5A" w14:textId="77777777" w:rsidR="0048039C" w:rsidRDefault="00480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F7E7" w14:textId="77777777" w:rsidR="00E00284" w:rsidRDefault="00E00284">
      <w:pPr>
        <w:spacing w:after="0" w:line="240" w:lineRule="auto"/>
      </w:pPr>
      <w:r>
        <w:separator/>
      </w:r>
    </w:p>
  </w:footnote>
  <w:footnote w:type="continuationSeparator" w:id="0">
    <w:p w14:paraId="015FAACA" w14:textId="77777777" w:rsidR="00E00284" w:rsidRDefault="00E0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BD86" w14:textId="790E3536" w:rsidR="00A56910" w:rsidRDefault="00A56910">
    <w:pPr>
      <w:pStyle w:val="Header"/>
      <w:rPr>
        <w:rFonts w:cs="Arial"/>
        <w:b/>
        <w:bCs/>
      </w:rPr>
    </w:pPr>
    <w:r>
      <w:t>Gwent PSB agenda Item 02 -</w:t>
    </w:r>
    <w:r w:rsidRPr="00A56910">
      <w:rPr>
        <w:rFonts w:cs="Arial"/>
        <w:b/>
        <w:bCs/>
      </w:rPr>
      <w:t xml:space="preserve"> </w:t>
    </w:r>
    <w:r w:rsidRPr="00A56910">
      <w:rPr>
        <w:rFonts w:cs="Arial"/>
      </w:rPr>
      <w:t>Presentation from GSWAG on the development of the Delivery Plans</w:t>
    </w:r>
    <w:r w:rsidRPr="00BA07BE">
      <w:rPr>
        <w:rFonts w:cs="Arial"/>
        <w:b/>
        <w:bCs/>
      </w:rPr>
      <w:t xml:space="preserve"> </w:t>
    </w:r>
  </w:p>
  <w:p w14:paraId="2466460B" w14:textId="77777777" w:rsidR="00A56910" w:rsidRDefault="00A56910">
    <w:pPr>
      <w:pStyle w:val="Header"/>
    </w:pPr>
  </w:p>
  <w:p w14:paraId="390563B8" w14:textId="2832AF31" w:rsidR="0084129A" w:rsidRDefault="00841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778"/>
    <w:multiLevelType w:val="hybridMultilevel"/>
    <w:tmpl w:val="20B89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90B34"/>
    <w:multiLevelType w:val="hybridMultilevel"/>
    <w:tmpl w:val="F97C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242"/>
    <w:multiLevelType w:val="hybridMultilevel"/>
    <w:tmpl w:val="FDFAE920"/>
    <w:lvl w:ilvl="0" w:tplc="18888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4D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67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E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A0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E2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26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0B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3D489A"/>
    <w:multiLevelType w:val="hybridMultilevel"/>
    <w:tmpl w:val="2326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7FB8"/>
    <w:multiLevelType w:val="hybridMultilevel"/>
    <w:tmpl w:val="22DA8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E3D75"/>
    <w:multiLevelType w:val="hybridMultilevel"/>
    <w:tmpl w:val="E242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0A35"/>
    <w:multiLevelType w:val="hybridMultilevel"/>
    <w:tmpl w:val="67989C00"/>
    <w:lvl w:ilvl="0" w:tplc="E1CA8D7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E1CA8D7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640E2"/>
    <w:multiLevelType w:val="hybridMultilevel"/>
    <w:tmpl w:val="89F289DA"/>
    <w:lvl w:ilvl="0" w:tplc="157CAC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64528"/>
    <w:multiLevelType w:val="hybridMultilevel"/>
    <w:tmpl w:val="A7EA4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81F61"/>
    <w:multiLevelType w:val="hybridMultilevel"/>
    <w:tmpl w:val="E6CCD3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7C29FC"/>
    <w:multiLevelType w:val="hybridMultilevel"/>
    <w:tmpl w:val="C13CC392"/>
    <w:lvl w:ilvl="0" w:tplc="439AD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69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C6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83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6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4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E9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CA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A7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C35338"/>
    <w:multiLevelType w:val="hybridMultilevel"/>
    <w:tmpl w:val="A4C8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D46A3"/>
    <w:multiLevelType w:val="hybridMultilevel"/>
    <w:tmpl w:val="30C8F0A6"/>
    <w:lvl w:ilvl="0" w:tplc="E1CA8D7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500E9"/>
    <w:multiLevelType w:val="hybridMultilevel"/>
    <w:tmpl w:val="0D4A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40D9C"/>
    <w:multiLevelType w:val="hybridMultilevel"/>
    <w:tmpl w:val="782CB76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8E1B60"/>
    <w:multiLevelType w:val="hybridMultilevel"/>
    <w:tmpl w:val="BE9C1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9734BD"/>
    <w:multiLevelType w:val="hybridMultilevel"/>
    <w:tmpl w:val="EDB25CDE"/>
    <w:lvl w:ilvl="0" w:tplc="21841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0F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87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07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27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24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AF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4F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0E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9325356"/>
    <w:multiLevelType w:val="hybridMultilevel"/>
    <w:tmpl w:val="8D1CF358"/>
    <w:lvl w:ilvl="0" w:tplc="CD98CF92">
      <w:numFmt w:val="bullet"/>
      <w:lvlText w:val="•"/>
      <w:lvlJc w:val="left"/>
      <w:pPr>
        <w:ind w:left="1080" w:hanging="720"/>
      </w:pPr>
      <w:rPr>
        <w:rFonts w:ascii="Garamond" w:eastAsia="Times New Roman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4D339E"/>
    <w:multiLevelType w:val="hybridMultilevel"/>
    <w:tmpl w:val="BEE4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26C50"/>
    <w:multiLevelType w:val="hybridMultilevel"/>
    <w:tmpl w:val="FC72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72116"/>
    <w:multiLevelType w:val="hybridMultilevel"/>
    <w:tmpl w:val="1ECA84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EB7034"/>
    <w:multiLevelType w:val="hybridMultilevel"/>
    <w:tmpl w:val="A336B646"/>
    <w:lvl w:ilvl="0" w:tplc="E1CA8D7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C40FB6"/>
    <w:multiLevelType w:val="hybridMultilevel"/>
    <w:tmpl w:val="DAC2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65580"/>
    <w:multiLevelType w:val="hybridMultilevel"/>
    <w:tmpl w:val="F74EF46C"/>
    <w:lvl w:ilvl="0" w:tplc="E1CA8D7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0361964"/>
    <w:multiLevelType w:val="hybridMultilevel"/>
    <w:tmpl w:val="9FDC31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5E5772"/>
    <w:multiLevelType w:val="multilevel"/>
    <w:tmpl w:val="D2360FA6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A85133"/>
    <w:multiLevelType w:val="hybridMultilevel"/>
    <w:tmpl w:val="9418D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180A55"/>
    <w:multiLevelType w:val="hybridMultilevel"/>
    <w:tmpl w:val="19982088"/>
    <w:lvl w:ilvl="0" w:tplc="5CC67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E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E4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E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A6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2C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8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0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20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FE45E1"/>
    <w:multiLevelType w:val="hybridMultilevel"/>
    <w:tmpl w:val="F4FE4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C79DB"/>
    <w:multiLevelType w:val="multilevel"/>
    <w:tmpl w:val="3FC6F2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834A4A"/>
    <w:multiLevelType w:val="hybridMultilevel"/>
    <w:tmpl w:val="63F2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C0D6D"/>
    <w:multiLevelType w:val="hybridMultilevel"/>
    <w:tmpl w:val="7E7E0ECA"/>
    <w:lvl w:ilvl="0" w:tplc="C03A0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81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86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D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06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AC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42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02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4E7880"/>
    <w:multiLevelType w:val="hybridMultilevel"/>
    <w:tmpl w:val="2488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A43CC"/>
    <w:multiLevelType w:val="multilevel"/>
    <w:tmpl w:val="42286C6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DD2D1D"/>
    <w:multiLevelType w:val="hybridMultilevel"/>
    <w:tmpl w:val="54C6B0B6"/>
    <w:lvl w:ilvl="0" w:tplc="17D0FA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344B0"/>
    <w:multiLevelType w:val="hybridMultilevel"/>
    <w:tmpl w:val="92EC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96922"/>
    <w:multiLevelType w:val="hybridMultilevel"/>
    <w:tmpl w:val="054A2F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7603BA"/>
    <w:multiLevelType w:val="hybridMultilevel"/>
    <w:tmpl w:val="AE047C4A"/>
    <w:lvl w:ilvl="0" w:tplc="248A07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360D6"/>
    <w:multiLevelType w:val="hybridMultilevel"/>
    <w:tmpl w:val="9EB04FF2"/>
    <w:lvl w:ilvl="0" w:tplc="62302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0A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E9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66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48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25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0A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4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6272DC"/>
    <w:multiLevelType w:val="hybridMultilevel"/>
    <w:tmpl w:val="439C133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802112"/>
    <w:multiLevelType w:val="hybridMultilevel"/>
    <w:tmpl w:val="9564C6A4"/>
    <w:lvl w:ilvl="0" w:tplc="5D50421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540811"/>
    <w:multiLevelType w:val="hybridMultilevel"/>
    <w:tmpl w:val="6E9E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122AE"/>
    <w:multiLevelType w:val="hybridMultilevel"/>
    <w:tmpl w:val="39EA3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1126EA"/>
    <w:multiLevelType w:val="hybridMultilevel"/>
    <w:tmpl w:val="15A83C7A"/>
    <w:lvl w:ilvl="0" w:tplc="248A07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B2A15"/>
    <w:multiLevelType w:val="hybridMultilevel"/>
    <w:tmpl w:val="4BD0C74C"/>
    <w:lvl w:ilvl="0" w:tplc="42260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CC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CF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E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8F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07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4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6A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F40920"/>
    <w:multiLevelType w:val="hybridMultilevel"/>
    <w:tmpl w:val="71E4AF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7063181">
    <w:abstractNumId w:val="33"/>
  </w:num>
  <w:num w:numId="2" w16cid:durableId="407265309">
    <w:abstractNumId w:val="25"/>
  </w:num>
  <w:num w:numId="3" w16cid:durableId="1849365691">
    <w:abstractNumId w:val="15"/>
  </w:num>
  <w:num w:numId="4" w16cid:durableId="1457677718">
    <w:abstractNumId w:val="30"/>
  </w:num>
  <w:num w:numId="5" w16cid:durableId="1036392525">
    <w:abstractNumId w:val="3"/>
  </w:num>
  <w:num w:numId="6" w16cid:durableId="1369835689">
    <w:abstractNumId w:val="22"/>
  </w:num>
  <w:num w:numId="7" w16cid:durableId="1250966490">
    <w:abstractNumId w:val="19"/>
  </w:num>
  <w:num w:numId="8" w16cid:durableId="300425992">
    <w:abstractNumId w:val="17"/>
  </w:num>
  <w:num w:numId="9" w16cid:durableId="633831098">
    <w:abstractNumId w:val="8"/>
  </w:num>
  <w:num w:numId="10" w16cid:durableId="2057973627">
    <w:abstractNumId w:val="35"/>
  </w:num>
  <w:num w:numId="11" w16cid:durableId="385301715">
    <w:abstractNumId w:val="5"/>
  </w:num>
  <w:num w:numId="12" w16cid:durableId="1399792208">
    <w:abstractNumId w:val="28"/>
  </w:num>
  <w:num w:numId="13" w16cid:durableId="1732998709">
    <w:abstractNumId w:val="11"/>
  </w:num>
  <w:num w:numId="14" w16cid:durableId="2070300964">
    <w:abstractNumId w:val="39"/>
  </w:num>
  <w:num w:numId="15" w16cid:durableId="1493834293">
    <w:abstractNumId w:val="32"/>
  </w:num>
  <w:num w:numId="16" w16cid:durableId="1337029623">
    <w:abstractNumId w:val="40"/>
  </w:num>
  <w:num w:numId="17" w16cid:durableId="319968412">
    <w:abstractNumId w:val="20"/>
  </w:num>
  <w:num w:numId="18" w16cid:durableId="1016347973">
    <w:abstractNumId w:val="31"/>
  </w:num>
  <w:num w:numId="19" w16cid:durableId="691497882">
    <w:abstractNumId w:val="44"/>
  </w:num>
  <w:num w:numId="20" w16cid:durableId="593175031">
    <w:abstractNumId w:val="2"/>
  </w:num>
  <w:num w:numId="21" w16cid:durableId="263389871">
    <w:abstractNumId w:val="16"/>
  </w:num>
  <w:num w:numId="22" w16cid:durableId="721710687">
    <w:abstractNumId w:val="38"/>
  </w:num>
  <w:num w:numId="23" w16cid:durableId="978073956">
    <w:abstractNumId w:val="27"/>
  </w:num>
  <w:num w:numId="24" w16cid:durableId="527329233">
    <w:abstractNumId w:val="10"/>
  </w:num>
  <w:num w:numId="25" w16cid:durableId="2003579652">
    <w:abstractNumId w:val="24"/>
  </w:num>
  <w:num w:numId="26" w16cid:durableId="235869040">
    <w:abstractNumId w:val="42"/>
  </w:num>
  <w:num w:numId="27" w16cid:durableId="2108844730">
    <w:abstractNumId w:val="45"/>
  </w:num>
  <w:num w:numId="28" w16cid:durableId="1068847447">
    <w:abstractNumId w:val="9"/>
  </w:num>
  <w:num w:numId="29" w16cid:durableId="334841746">
    <w:abstractNumId w:val="23"/>
  </w:num>
  <w:num w:numId="30" w16cid:durableId="940062824">
    <w:abstractNumId w:val="12"/>
  </w:num>
  <w:num w:numId="31" w16cid:durableId="1430542136">
    <w:abstractNumId w:val="6"/>
  </w:num>
  <w:num w:numId="32" w16cid:durableId="91438791">
    <w:abstractNumId w:val="21"/>
  </w:num>
  <w:num w:numId="33" w16cid:durableId="624584357">
    <w:abstractNumId w:val="41"/>
  </w:num>
  <w:num w:numId="34" w16cid:durableId="1110127121">
    <w:abstractNumId w:val="26"/>
  </w:num>
  <w:num w:numId="35" w16cid:durableId="727807581">
    <w:abstractNumId w:val="36"/>
  </w:num>
  <w:num w:numId="36" w16cid:durableId="1319073379">
    <w:abstractNumId w:val="7"/>
  </w:num>
  <w:num w:numId="37" w16cid:durableId="1690181194">
    <w:abstractNumId w:val="34"/>
  </w:num>
  <w:num w:numId="38" w16cid:durableId="2122333722">
    <w:abstractNumId w:val="14"/>
  </w:num>
  <w:num w:numId="39" w16cid:durableId="1683975152">
    <w:abstractNumId w:val="29"/>
  </w:num>
  <w:num w:numId="40" w16cid:durableId="1322733969">
    <w:abstractNumId w:val="1"/>
  </w:num>
  <w:num w:numId="41" w16cid:durableId="1200774794">
    <w:abstractNumId w:val="13"/>
  </w:num>
  <w:num w:numId="42" w16cid:durableId="741201">
    <w:abstractNumId w:val="37"/>
  </w:num>
  <w:num w:numId="43" w16cid:durableId="1764690126">
    <w:abstractNumId w:val="43"/>
  </w:num>
  <w:num w:numId="44" w16cid:durableId="1157766409">
    <w:abstractNumId w:val="18"/>
  </w:num>
  <w:num w:numId="45" w16cid:durableId="2061401239">
    <w:abstractNumId w:val="0"/>
  </w:num>
  <w:num w:numId="46" w16cid:durableId="1855608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A2"/>
    <w:rsid w:val="0000420B"/>
    <w:rsid w:val="00004249"/>
    <w:rsid w:val="00006FE1"/>
    <w:rsid w:val="00017095"/>
    <w:rsid w:val="00017A6E"/>
    <w:rsid w:val="000211BF"/>
    <w:rsid w:val="00024817"/>
    <w:rsid w:val="00032ECC"/>
    <w:rsid w:val="00043DDF"/>
    <w:rsid w:val="00050684"/>
    <w:rsid w:val="00051A01"/>
    <w:rsid w:val="000521F6"/>
    <w:rsid w:val="00067C5C"/>
    <w:rsid w:val="00074E12"/>
    <w:rsid w:val="000950BA"/>
    <w:rsid w:val="00096465"/>
    <w:rsid w:val="000A0A27"/>
    <w:rsid w:val="000B4632"/>
    <w:rsid w:val="000D3264"/>
    <w:rsid w:val="000D42B8"/>
    <w:rsid w:val="000D5790"/>
    <w:rsid w:val="000D6AF5"/>
    <w:rsid w:val="000E303C"/>
    <w:rsid w:val="000F2913"/>
    <w:rsid w:val="000F7FA2"/>
    <w:rsid w:val="00105013"/>
    <w:rsid w:val="00116FC5"/>
    <w:rsid w:val="00124308"/>
    <w:rsid w:val="00136B3C"/>
    <w:rsid w:val="0014022B"/>
    <w:rsid w:val="00142E88"/>
    <w:rsid w:val="00155A33"/>
    <w:rsid w:val="0017458A"/>
    <w:rsid w:val="00176E4E"/>
    <w:rsid w:val="001902C3"/>
    <w:rsid w:val="001B0A7C"/>
    <w:rsid w:val="001B4F67"/>
    <w:rsid w:val="001B6CBA"/>
    <w:rsid w:val="001C4AC5"/>
    <w:rsid w:val="001C6983"/>
    <w:rsid w:val="001C7649"/>
    <w:rsid w:val="001E06F1"/>
    <w:rsid w:val="001E247F"/>
    <w:rsid w:val="001F5DB0"/>
    <w:rsid w:val="001F6960"/>
    <w:rsid w:val="002014DD"/>
    <w:rsid w:val="00224CC6"/>
    <w:rsid w:val="00244345"/>
    <w:rsid w:val="0024608B"/>
    <w:rsid w:val="002466FB"/>
    <w:rsid w:val="00250E1D"/>
    <w:rsid w:val="00267DE0"/>
    <w:rsid w:val="00274B10"/>
    <w:rsid w:val="00283AA0"/>
    <w:rsid w:val="002C2430"/>
    <w:rsid w:val="002D25CD"/>
    <w:rsid w:val="002D29D2"/>
    <w:rsid w:val="002E394D"/>
    <w:rsid w:val="002F2828"/>
    <w:rsid w:val="002F2F97"/>
    <w:rsid w:val="002F72B1"/>
    <w:rsid w:val="00304046"/>
    <w:rsid w:val="0031483E"/>
    <w:rsid w:val="00315F51"/>
    <w:rsid w:val="0031641F"/>
    <w:rsid w:val="003179CF"/>
    <w:rsid w:val="0032540F"/>
    <w:rsid w:val="00326E03"/>
    <w:rsid w:val="00330D24"/>
    <w:rsid w:val="00331A13"/>
    <w:rsid w:val="00333E83"/>
    <w:rsid w:val="00344579"/>
    <w:rsid w:val="0035234D"/>
    <w:rsid w:val="00354FB0"/>
    <w:rsid w:val="00355298"/>
    <w:rsid w:val="00356BCC"/>
    <w:rsid w:val="00377EC2"/>
    <w:rsid w:val="003B2358"/>
    <w:rsid w:val="003D2927"/>
    <w:rsid w:val="003D527F"/>
    <w:rsid w:val="003D6623"/>
    <w:rsid w:val="003E124F"/>
    <w:rsid w:val="003E18A2"/>
    <w:rsid w:val="003F02B4"/>
    <w:rsid w:val="00402C7B"/>
    <w:rsid w:val="00415A21"/>
    <w:rsid w:val="00422AA7"/>
    <w:rsid w:val="004230B0"/>
    <w:rsid w:val="0043068D"/>
    <w:rsid w:val="004359B5"/>
    <w:rsid w:val="004463F8"/>
    <w:rsid w:val="00461DED"/>
    <w:rsid w:val="0047319C"/>
    <w:rsid w:val="0048039C"/>
    <w:rsid w:val="004A1D05"/>
    <w:rsid w:val="004B5AD2"/>
    <w:rsid w:val="004D269E"/>
    <w:rsid w:val="004D2981"/>
    <w:rsid w:val="004E5CCB"/>
    <w:rsid w:val="004E5DF4"/>
    <w:rsid w:val="00517EA6"/>
    <w:rsid w:val="005200E3"/>
    <w:rsid w:val="00521B08"/>
    <w:rsid w:val="005233FB"/>
    <w:rsid w:val="005237AA"/>
    <w:rsid w:val="005319E4"/>
    <w:rsid w:val="00534015"/>
    <w:rsid w:val="005530FE"/>
    <w:rsid w:val="00555343"/>
    <w:rsid w:val="00564648"/>
    <w:rsid w:val="00573877"/>
    <w:rsid w:val="00591D88"/>
    <w:rsid w:val="00592332"/>
    <w:rsid w:val="005A0027"/>
    <w:rsid w:val="005A5CD9"/>
    <w:rsid w:val="005B3F97"/>
    <w:rsid w:val="005D5F28"/>
    <w:rsid w:val="005D6D3E"/>
    <w:rsid w:val="005E2975"/>
    <w:rsid w:val="005E40D7"/>
    <w:rsid w:val="005F3452"/>
    <w:rsid w:val="00605CF1"/>
    <w:rsid w:val="00606F78"/>
    <w:rsid w:val="00606F92"/>
    <w:rsid w:val="00607DCA"/>
    <w:rsid w:val="00611675"/>
    <w:rsid w:val="00612DD2"/>
    <w:rsid w:val="0062315D"/>
    <w:rsid w:val="006344C7"/>
    <w:rsid w:val="00634588"/>
    <w:rsid w:val="00635DD7"/>
    <w:rsid w:val="00637B82"/>
    <w:rsid w:val="00652D74"/>
    <w:rsid w:val="00665388"/>
    <w:rsid w:val="00676F6C"/>
    <w:rsid w:val="00680CF1"/>
    <w:rsid w:val="006832FC"/>
    <w:rsid w:val="00686720"/>
    <w:rsid w:val="00687652"/>
    <w:rsid w:val="00687F3D"/>
    <w:rsid w:val="00692ACE"/>
    <w:rsid w:val="006A629F"/>
    <w:rsid w:val="006D2BBB"/>
    <w:rsid w:val="006D3F72"/>
    <w:rsid w:val="006D595D"/>
    <w:rsid w:val="006E1762"/>
    <w:rsid w:val="006F278B"/>
    <w:rsid w:val="007247F3"/>
    <w:rsid w:val="00725740"/>
    <w:rsid w:val="007363F1"/>
    <w:rsid w:val="00740BB3"/>
    <w:rsid w:val="00745069"/>
    <w:rsid w:val="00745F07"/>
    <w:rsid w:val="0076042A"/>
    <w:rsid w:val="00777E8F"/>
    <w:rsid w:val="0079050D"/>
    <w:rsid w:val="00793F84"/>
    <w:rsid w:val="007A7E5A"/>
    <w:rsid w:val="007B3C6D"/>
    <w:rsid w:val="007B78C6"/>
    <w:rsid w:val="007B7A1B"/>
    <w:rsid w:val="007C2E11"/>
    <w:rsid w:val="007C37DC"/>
    <w:rsid w:val="007C40C0"/>
    <w:rsid w:val="007D0A0B"/>
    <w:rsid w:val="007D4BEE"/>
    <w:rsid w:val="007D684A"/>
    <w:rsid w:val="00823207"/>
    <w:rsid w:val="0083115C"/>
    <w:rsid w:val="008400A1"/>
    <w:rsid w:val="0084129A"/>
    <w:rsid w:val="00851FBE"/>
    <w:rsid w:val="0086239F"/>
    <w:rsid w:val="00875735"/>
    <w:rsid w:val="0088455C"/>
    <w:rsid w:val="008B0D7E"/>
    <w:rsid w:val="008B0F91"/>
    <w:rsid w:val="008C35CB"/>
    <w:rsid w:val="008C3988"/>
    <w:rsid w:val="008C5A9C"/>
    <w:rsid w:val="008C5AED"/>
    <w:rsid w:val="008C5EFB"/>
    <w:rsid w:val="008D00A3"/>
    <w:rsid w:val="008D359B"/>
    <w:rsid w:val="008E1E92"/>
    <w:rsid w:val="008E2B4B"/>
    <w:rsid w:val="008E77A5"/>
    <w:rsid w:val="008F0C4C"/>
    <w:rsid w:val="00900E34"/>
    <w:rsid w:val="00901836"/>
    <w:rsid w:val="009044E2"/>
    <w:rsid w:val="00906595"/>
    <w:rsid w:val="00907314"/>
    <w:rsid w:val="009111A4"/>
    <w:rsid w:val="009321BA"/>
    <w:rsid w:val="00940B20"/>
    <w:rsid w:val="00941865"/>
    <w:rsid w:val="00946A56"/>
    <w:rsid w:val="009519ED"/>
    <w:rsid w:val="00952023"/>
    <w:rsid w:val="00956B26"/>
    <w:rsid w:val="00957E61"/>
    <w:rsid w:val="00960143"/>
    <w:rsid w:val="0096379A"/>
    <w:rsid w:val="009826CC"/>
    <w:rsid w:val="009A06FC"/>
    <w:rsid w:val="009D03DC"/>
    <w:rsid w:val="009D2459"/>
    <w:rsid w:val="009D57B2"/>
    <w:rsid w:val="009E6D7F"/>
    <w:rsid w:val="009E7070"/>
    <w:rsid w:val="009F732F"/>
    <w:rsid w:val="00A00947"/>
    <w:rsid w:val="00A3179F"/>
    <w:rsid w:val="00A4490A"/>
    <w:rsid w:val="00A45271"/>
    <w:rsid w:val="00A56910"/>
    <w:rsid w:val="00A81FAD"/>
    <w:rsid w:val="00A84024"/>
    <w:rsid w:val="00A85BC6"/>
    <w:rsid w:val="00A8752B"/>
    <w:rsid w:val="00A90EC5"/>
    <w:rsid w:val="00AA28D0"/>
    <w:rsid w:val="00AB0A22"/>
    <w:rsid w:val="00AB1918"/>
    <w:rsid w:val="00AB2E4C"/>
    <w:rsid w:val="00AC387B"/>
    <w:rsid w:val="00AD7FF9"/>
    <w:rsid w:val="00AE5143"/>
    <w:rsid w:val="00B05824"/>
    <w:rsid w:val="00B1438B"/>
    <w:rsid w:val="00B20C5D"/>
    <w:rsid w:val="00B2647F"/>
    <w:rsid w:val="00B2776F"/>
    <w:rsid w:val="00B40D8D"/>
    <w:rsid w:val="00B52607"/>
    <w:rsid w:val="00B65153"/>
    <w:rsid w:val="00B67F2A"/>
    <w:rsid w:val="00B70BFA"/>
    <w:rsid w:val="00B7742D"/>
    <w:rsid w:val="00B8466C"/>
    <w:rsid w:val="00B876DC"/>
    <w:rsid w:val="00BA09D3"/>
    <w:rsid w:val="00BB2BA1"/>
    <w:rsid w:val="00BB30F7"/>
    <w:rsid w:val="00BB6D38"/>
    <w:rsid w:val="00BC2447"/>
    <w:rsid w:val="00BC584A"/>
    <w:rsid w:val="00BD352F"/>
    <w:rsid w:val="00BE35A5"/>
    <w:rsid w:val="00BE646B"/>
    <w:rsid w:val="00BE771F"/>
    <w:rsid w:val="00BF17A1"/>
    <w:rsid w:val="00BF2B29"/>
    <w:rsid w:val="00BF50C2"/>
    <w:rsid w:val="00C005EA"/>
    <w:rsid w:val="00C02DF4"/>
    <w:rsid w:val="00C04DE1"/>
    <w:rsid w:val="00C059FC"/>
    <w:rsid w:val="00C079D6"/>
    <w:rsid w:val="00C07A0F"/>
    <w:rsid w:val="00C10809"/>
    <w:rsid w:val="00C11605"/>
    <w:rsid w:val="00C157BC"/>
    <w:rsid w:val="00C2092C"/>
    <w:rsid w:val="00C22642"/>
    <w:rsid w:val="00C30886"/>
    <w:rsid w:val="00C34371"/>
    <w:rsid w:val="00C41770"/>
    <w:rsid w:val="00C51C79"/>
    <w:rsid w:val="00C53A72"/>
    <w:rsid w:val="00C84CE3"/>
    <w:rsid w:val="00C84F18"/>
    <w:rsid w:val="00C87882"/>
    <w:rsid w:val="00CB2026"/>
    <w:rsid w:val="00CC191B"/>
    <w:rsid w:val="00CC3CE9"/>
    <w:rsid w:val="00CC6151"/>
    <w:rsid w:val="00CD1C20"/>
    <w:rsid w:val="00CE4C06"/>
    <w:rsid w:val="00CF5EAD"/>
    <w:rsid w:val="00D03D97"/>
    <w:rsid w:val="00D10891"/>
    <w:rsid w:val="00D1142A"/>
    <w:rsid w:val="00D17851"/>
    <w:rsid w:val="00D21C65"/>
    <w:rsid w:val="00D253E8"/>
    <w:rsid w:val="00D360C6"/>
    <w:rsid w:val="00D44EFF"/>
    <w:rsid w:val="00D72847"/>
    <w:rsid w:val="00D75540"/>
    <w:rsid w:val="00D851E2"/>
    <w:rsid w:val="00D86B71"/>
    <w:rsid w:val="00D91883"/>
    <w:rsid w:val="00DB0DA5"/>
    <w:rsid w:val="00DB491B"/>
    <w:rsid w:val="00DB640A"/>
    <w:rsid w:val="00DB7518"/>
    <w:rsid w:val="00DC7939"/>
    <w:rsid w:val="00DD07AE"/>
    <w:rsid w:val="00DD2B86"/>
    <w:rsid w:val="00DD37A9"/>
    <w:rsid w:val="00DD794E"/>
    <w:rsid w:val="00DE35BA"/>
    <w:rsid w:val="00DE4E50"/>
    <w:rsid w:val="00DF1DF4"/>
    <w:rsid w:val="00E00284"/>
    <w:rsid w:val="00E06F07"/>
    <w:rsid w:val="00E13002"/>
    <w:rsid w:val="00E24974"/>
    <w:rsid w:val="00E25C48"/>
    <w:rsid w:val="00E27BEF"/>
    <w:rsid w:val="00E32A7E"/>
    <w:rsid w:val="00E3479E"/>
    <w:rsid w:val="00E4456D"/>
    <w:rsid w:val="00E743EC"/>
    <w:rsid w:val="00E75FBB"/>
    <w:rsid w:val="00E90CC8"/>
    <w:rsid w:val="00EA5167"/>
    <w:rsid w:val="00EB1E8B"/>
    <w:rsid w:val="00EB25D6"/>
    <w:rsid w:val="00EB2E07"/>
    <w:rsid w:val="00EB320E"/>
    <w:rsid w:val="00ED39CE"/>
    <w:rsid w:val="00EF425E"/>
    <w:rsid w:val="00EF6177"/>
    <w:rsid w:val="00F055ED"/>
    <w:rsid w:val="00F10310"/>
    <w:rsid w:val="00F10EBB"/>
    <w:rsid w:val="00F14A87"/>
    <w:rsid w:val="00F26694"/>
    <w:rsid w:val="00F3672C"/>
    <w:rsid w:val="00F5433A"/>
    <w:rsid w:val="00F55E45"/>
    <w:rsid w:val="00F6191F"/>
    <w:rsid w:val="00FA2A77"/>
    <w:rsid w:val="00FC143D"/>
    <w:rsid w:val="00FC5460"/>
    <w:rsid w:val="00FD1A2C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D580"/>
  <w15:chartTrackingRefBased/>
  <w15:docId w15:val="{16A24F6B-4C74-4EAA-9A65-57757C5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F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A2"/>
  </w:style>
  <w:style w:type="character" w:styleId="Hyperlink">
    <w:name w:val="Hyperlink"/>
    <w:basedOn w:val="DefaultParagraphFont"/>
    <w:uiPriority w:val="99"/>
    <w:unhideWhenUsed/>
    <w:rsid w:val="00326E0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1FAD"/>
    <w:pPr>
      <w:spacing w:after="0" w:line="240" w:lineRule="auto"/>
    </w:pPr>
  </w:style>
  <w:style w:type="paragraph" w:customStyle="1" w:styleId="Default">
    <w:name w:val="Default"/>
    <w:rsid w:val="00A81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B235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2358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B235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1D05"/>
    <w:rPr>
      <w:color w:val="954F72" w:themeColor="followedHyperlink"/>
      <w:u w:val="single"/>
    </w:rPr>
  </w:style>
  <w:style w:type="paragraph" w:customStyle="1" w:styleId="Standard">
    <w:name w:val="Standard"/>
    <w:rsid w:val="00E27BE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652D74"/>
    <w:pPr>
      <w:spacing w:after="0" w:line="240" w:lineRule="auto"/>
    </w:pPr>
    <w:rPr>
      <w:rFonts w:eastAsia="Times New Roman"/>
      <w:lang w:eastAsia="en-GB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next w:val="GridTable1Light-Accent1"/>
    <w:uiPriority w:val="46"/>
    <w:rsid w:val="00652D74"/>
    <w:pPr>
      <w:spacing w:after="0" w:line="240" w:lineRule="auto"/>
    </w:pPr>
    <w:rPr>
      <w:rFonts w:eastAsia="Times New Roman"/>
      <w:lang w:eastAsia="en-GB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52D7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CF5EAD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75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3D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1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9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684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156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686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92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991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6083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846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890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0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51A6-C50D-485C-A2C6-0DAB60B8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1403</Words>
  <Characters>8003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Richard D</dc:creator>
  <cp:keywords/>
  <dc:description/>
  <cp:lastModifiedBy>Pells, Heather</cp:lastModifiedBy>
  <cp:revision>2</cp:revision>
  <cp:lastPrinted>2017-07-07T09:27:00Z</cp:lastPrinted>
  <dcterms:created xsi:type="dcterms:W3CDTF">2023-12-05T11:47:00Z</dcterms:created>
  <dcterms:modified xsi:type="dcterms:W3CDTF">2023-12-05T11:47:00Z</dcterms:modified>
</cp:coreProperties>
</file>