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D47C" w14:textId="2AA8F9CA" w:rsidR="0011114F" w:rsidRPr="00BB15B8" w:rsidRDefault="000D6B45" w:rsidP="00FF2A91">
      <w:pPr>
        <w:jc w:val="both"/>
        <w:rPr>
          <w:lang w:val="en-GB"/>
        </w:rPr>
      </w:pPr>
      <w:r w:rsidRPr="00BB15B8">
        <w:rPr>
          <w:noProof/>
          <w:lang w:val="en-GB"/>
        </w:rPr>
        <w:drawing>
          <wp:anchor distT="0" distB="0" distL="114300" distR="114300" simplePos="0" relativeHeight="251659776" behindDoc="1" locked="0" layoutInCell="1" allowOverlap="1" wp14:anchorId="04083549" wp14:editId="5F1C2278">
            <wp:simplePos x="0" y="0"/>
            <wp:positionH relativeFrom="page">
              <wp:posOffset>0</wp:posOffset>
            </wp:positionH>
            <wp:positionV relativeFrom="paragraph">
              <wp:posOffset>-965835</wp:posOffset>
            </wp:positionV>
            <wp:extent cx="7552690" cy="1068324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C9175" w14:textId="77777777" w:rsidR="0011114F" w:rsidRPr="00BB15B8" w:rsidRDefault="0011114F" w:rsidP="0011114F">
      <w:pPr>
        <w:rPr>
          <w:lang w:val="en-GB"/>
        </w:rPr>
      </w:pPr>
    </w:p>
    <w:p w14:paraId="40E50B72" w14:textId="77777777" w:rsidR="002D48A1" w:rsidRPr="00BB15B8" w:rsidRDefault="002D48A1" w:rsidP="0011114F">
      <w:pPr>
        <w:rPr>
          <w:lang w:val="en-GB"/>
        </w:rPr>
      </w:pPr>
    </w:p>
    <w:p w14:paraId="2DF4FB5E" w14:textId="77777777" w:rsidR="002D48A1" w:rsidRPr="00BB15B8" w:rsidRDefault="002D48A1" w:rsidP="0011114F">
      <w:pPr>
        <w:rPr>
          <w:lang w:val="en-GB"/>
        </w:rPr>
      </w:pPr>
    </w:p>
    <w:tbl>
      <w:tblPr>
        <w:tblStyle w:val="TableGrid1"/>
        <w:tblpPr w:leftFromText="180" w:rightFromText="180" w:vertAnchor="text" w:horzAnchor="page" w:tblpX="706" w:tblpY="1"/>
        <w:tblOverlap w:val="never"/>
        <w:tblW w:w="7022" w:type="dxa"/>
        <w:tblLook w:val="04A0" w:firstRow="1" w:lastRow="0" w:firstColumn="1" w:lastColumn="0" w:noHBand="0" w:noVBand="1"/>
      </w:tblPr>
      <w:tblGrid>
        <w:gridCol w:w="3872"/>
        <w:gridCol w:w="3150"/>
      </w:tblGrid>
      <w:tr w:rsidR="000D6B45" w:rsidRPr="00BB15B8" w14:paraId="7B6EE4B4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6429D708" w14:textId="2BD18BE9" w:rsidR="000D6B45" w:rsidRPr="00BB15B8" w:rsidRDefault="32D435B7" w:rsidP="416B6A18">
            <w:pPr>
              <w:spacing w:after="0" w:line="259" w:lineRule="auto"/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Programme Board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42B47D1" w14:textId="0905D24F" w:rsidR="000D6B45" w:rsidRPr="00B32F0C" w:rsidRDefault="00B32F0C" w:rsidP="416B6A18">
            <w:pPr>
              <w:spacing w:after="0"/>
              <w:rPr>
                <w:rFonts w:ascii="Arial" w:eastAsia="Calibri" w:hAnsi="Arial"/>
                <w:b/>
                <w:bCs/>
                <w:lang w:val="en-GB"/>
              </w:rPr>
            </w:pPr>
            <w:r w:rsidRPr="00B32F0C">
              <w:rPr>
                <w:rFonts w:ascii="Arial" w:eastAsia="Calibri" w:hAnsi="Arial"/>
                <w:b/>
                <w:bCs/>
                <w:lang w:val="en-GB"/>
              </w:rPr>
              <w:t>Gwent PSB 14</w:t>
            </w:r>
            <w:r w:rsidRPr="00B32F0C">
              <w:rPr>
                <w:rFonts w:ascii="Arial" w:eastAsia="Calibri" w:hAnsi="Arial"/>
                <w:b/>
                <w:bCs/>
                <w:vertAlign w:val="superscript"/>
                <w:lang w:val="en-GB"/>
              </w:rPr>
              <w:t>th</w:t>
            </w:r>
            <w:r w:rsidRPr="00B32F0C">
              <w:rPr>
                <w:rFonts w:ascii="Arial" w:eastAsia="Calibri" w:hAnsi="Arial"/>
                <w:b/>
                <w:bCs/>
                <w:lang w:val="en-GB"/>
              </w:rPr>
              <w:t xml:space="preserve"> December 2023 t</w:t>
            </w:r>
          </w:p>
        </w:tc>
      </w:tr>
      <w:tr w:rsidR="000D6B45" w:rsidRPr="00BB15B8" w14:paraId="68D88C6E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6848CE0A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Paper Number: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C155130" w14:textId="3F61C890" w:rsidR="000D6B45" w:rsidRPr="00B32F0C" w:rsidRDefault="00B32F0C" w:rsidP="000D6B45">
            <w:pPr>
              <w:spacing w:after="0"/>
              <w:rPr>
                <w:rFonts w:ascii="Arial" w:eastAsia="Calibri" w:hAnsi="Arial"/>
                <w:b/>
                <w:bCs/>
                <w:lang w:val="en-GB"/>
              </w:rPr>
            </w:pPr>
            <w:r w:rsidRPr="00B32F0C">
              <w:rPr>
                <w:rFonts w:ascii="Arial" w:eastAsia="Calibri" w:hAnsi="Arial"/>
                <w:b/>
                <w:bCs/>
                <w:lang w:val="en-GB"/>
              </w:rPr>
              <w:t xml:space="preserve">Item 5 </w:t>
            </w:r>
          </w:p>
        </w:tc>
      </w:tr>
      <w:tr w:rsidR="000D6B45" w:rsidRPr="00BB15B8" w14:paraId="6E145387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56904AAD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Paper Type: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88DAC35" w14:textId="429341D9" w:rsidR="000D6B45" w:rsidRPr="00BB15B8" w:rsidRDefault="00740B11" w:rsidP="000D6B4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B15B8">
              <w:rPr>
                <w:rFonts w:ascii="Arial" w:hAnsi="Arial" w:cs="Arial"/>
                <w:b/>
                <w:bCs/>
                <w:lang w:val="en-GB"/>
              </w:rPr>
              <w:t xml:space="preserve">Exception Report </w:t>
            </w:r>
          </w:p>
        </w:tc>
      </w:tr>
      <w:tr w:rsidR="000D6B45" w:rsidRPr="00BB15B8" w14:paraId="1EAAAA7E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1CD56000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Project Name: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0D0A083" w14:textId="42085FFD" w:rsidR="000D6B45" w:rsidRPr="00BB15B8" w:rsidRDefault="002C4670" w:rsidP="000D6B45">
            <w:pPr>
              <w:spacing w:after="0"/>
              <w:rPr>
                <w:rFonts w:ascii="Arial" w:eastAsia="Calibri" w:hAnsi="Arial"/>
                <w:b/>
                <w:bCs/>
                <w:lang w:val="en-GB"/>
              </w:rPr>
            </w:pPr>
            <w:r w:rsidRPr="00BB15B8">
              <w:rPr>
                <w:rFonts w:ascii="Arial" w:eastAsia="Calibri" w:hAnsi="Arial"/>
                <w:b/>
                <w:bCs/>
                <w:lang w:val="en-GB"/>
              </w:rPr>
              <w:t>Community Safety Review, pan-Gwent</w:t>
            </w:r>
          </w:p>
        </w:tc>
      </w:tr>
      <w:tr w:rsidR="000D6B45" w:rsidRPr="00BB15B8" w14:paraId="13852D82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145B62A4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Project/Workstream: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0E3F044" w14:textId="198FB3BB" w:rsidR="000D6B45" w:rsidRPr="00BB15B8" w:rsidRDefault="002C4670" w:rsidP="000D6B45">
            <w:pPr>
              <w:spacing w:after="0"/>
              <w:rPr>
                <w:rFonts w:ascii="Arial" w:eastAsia="Calibri" w:hAnsi="Arial"/>
                <w:b/>
                <w:bCs/>
                <w:lang w:val="en-GB"/>
              </w:rPr>
            </w:pPr>
            <w:r w:rsidRPr="00BB15B8">
              <w:rPr>
                <w:rFonts w:ascii="Arial" w:eastAsia="Calibri" w:hAnsi="Arial"/>
                <w:b/>
                <w:bCs/>
                <w:lang w:val="en-GB"/>
              </w:rPr>
              <w:t>East Local Policing Area</w:t>
            </w:r>
          </w:p>
        </w:tc>
      </w:tr>
      <w:tr w:rsidR="000D6B45" w:rsidRPr="00BB15B8" w14:paraId="5436751C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772F8EAB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Project Sponsor: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6812A08" w14:textId="330902A8" w:rsidR="000D6B45" w:rsidRPr="00BB15B8" w:rsidRDefault="002C4670" w:rsidP="000D6B45">
            <w:pPr>
              <w:spacing w:after="0"/>
              <w:rPr>
                <w:rFonts w:ascii="Arial" w:eastAsia="Calibri" w:hAnsi="Arial"/>
                <w:b/>
                <w:bCs/>
                <w:color w:val="FF0000"/>
                <w:lang w:val="en-GB"/>
              </w:rPr>
            </w:pPr>
            <w:r w:rsidRPr="00BB15B8">
              <w:rPr>
                <w:rFonts w:ascii="Arial" w:eastAsia="Calibri" w:hAnsi="Arial"/>
                <w:b/>
                <w:bCs/>
                <w:lang w:val="en-GB"/>
              </w:rPr>
              <w:t>CC Pam Kelly</w:t>
            </w:r>
          </w:p>
        </w:tc>
      </w:tr>
      <w:tr w:rsidR="000D6B45" w:rsidRPr="00BB15B8" w14:paraId="4B15CF0A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483784EB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Project Lead: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F30BBB" w14:textId="7382263F" w:rsidR="000D6B45" w:rsidRPr="00BB15B8" w:rsidRDefault="00362D1A" w:rsidP="000D6B45">
            <w:pPr>
              <w:spacing w:after="0"/>
              <w:rPr>
                <w:rFonts w:ascii="Arial" w:eastAsia="Calibri" w:hAnsi="Arial"/>
                <w:b/>
                <w:bCs/>
                <w:lang w:val="en-GB"/>
              </w:rPr>
            </w:pPr>
            <w:r w:rsidRPr="00BB15B8">
              <w:rPr>
                <w:rFonts w:ascii="Arial" w:eastAsia="Calibri" w:hAnsi="Arial"/>
                <w:b/>
                <w:bCs/>
                <w:lang w:val="en-GB"/>
              </w:rPr>
              <w:t>Ch/Supt. Carl Williams</w:t>
            </w:r>
          </w:p>
        </w:tc>
      </w:tr>
      <w:tr w:rsidR="000D6B45" w:rsidRPr="00BB15B8" w14:paraId="15A02CDC" w14:textId="77777777" w:rsidTr="416B6A18">
        <w:trPr>
          <w:trHeight w:val="850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1EB47EC3" w14:textId="77777777" w:rsidR="000D6B45" w:rsidRPr="00BB15B8" w:rsidRDefault="000D6B45" w:rsidP="000D6B45">
            <w:pPr>
              <w:spacing w:after="0"/>
              <w:rPr>
                <w:rFonts w:ascii="Arial" w:eastAsia="Calibri" w:hAnsi="Arial"/>
                <w:b/>
                <w:lang w:val="en-GB"/>
              </w:rPr>
            </w:pPr>
            <w:r w:rsidRPr="00BB15B8">
              <w:rPr>
                <w:rFonts w:ascii="Arial" w:eastAsia="Calibri" w:hAnsi="Arial" w:cs="Arial"/>
                <w:b/>
                <w:sz w:val="28"/>
                <w:szCs w:val="28"/>
                <w:lang w:val="en-GB"/>
              </w:rPr>
              <w:t>Report Author: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3D7AE4" w14:textId="4293B993" w:rsidR="000D6B45" w:rsidRPr="00BB15B8" w:rsidRDefault="00362D1A" w:rsidP="000D6B45">
            <w:pPr>
              <w:spacing w:after="0"/>
              <w:rPr>
                <w:rFonts w:ascii="Arial" w:eastAsia="Calibri" w:hAnsi="Arial"/>
                <w:b/>
                <w:bCs/>
                <w:lang w:val="en-GB"/>
              </w:rPr>
            </w:pPr>
            <w:r w:rsidRPr="00BB15B8">
              <w:rPr>
                <w:rFonts w:ascii="Arial" w:eastAsia="Calibri" w:hAnsi="Arial"/>
                <w:b/>
                <w:bCs/>
                <w:lang w:val="en-GB"/>
              </w:rPr>
              <w:t>Ch/Supt. Carl Williams</w:t>
            </w:r>
          </w:p>
        </w:tc>
      </w:tr>
    </w:tbl>
    <w:p w14:paraId="15041C7F" w14:textId="77777777" w:rsidR="0011114F" w:rsidRPr="00BB15B8" w:rsidRDefault="0011114F" w:rsidP="0011114F">
      <w:pPr>
        <w:rPr>
          <w:rFonts w:ascii="Arial" w:hAnsi="Arial" w:cs="Arial"/>
          <w:lang w:val="en-GB"/>
        </w:rPr>
      </w:pPr>
    </w:p>
    <w:p w14:paraId="59C60163" w14:textId="77777777" w:rsidR="002D48A1" w:rsidRPr="00BB15B8" w:rsidRDefault="002D48A1" w:rsidP="0011114F">
      <w:pPr>
        <w:rPr>
          <w:rFonts w:ascii="Arial" w:hAnsi="Arial" w:cs="Arial"/>
          <w:lang w:val="en-GB"/>
        </w:rPr>
      </w:pPr>
    </w:p>
    <w:p w14:paraId="1C301739" w14:textId="77777777" w:rsidR="002D48A1" w:rsidRPr="00BB15B8" w:rsidRDefault="002D48A1" w:rsidP="0011114F">
      <w:pPr>
        <w:rPr>
          <w:rFonts w:ascii="Arial" w:hAnsi="Arial" w:cs="Arial"/>
          <w:lang w:val="en-GB"/>
        </w:rPr>
      </w:pPr>
    </w:p>
    <w:p w14:paraId="7BF79A87" w14:textId="77777777" w:rsidR="000B38B1" w:rsidRPr="00BB15B8" w:rsidRDefault="000B38B1" w:rsidP="0011114F">
      <w:pPr>
        <w:rPr>
          <w:rFonts w:ascii="Arial" w:hAnsi="Arial" w:cs="Arial"/>
          <w:lang w:val="en-GB"/>
        </w:rPr>
      </w:pPr>
    </w:p>
    <w:p w14:paraId="64F02F6B" w14:textId="77777777" w:rsidR="000B38B1" w:rsidRPr="00BB15B8" w:rsidRDefault="000B38B1" w:rsidP="0011114F">
      <w:pPr>
        <w:rPr>
          <w:rFonts w:ascii="Arial" w:hAnsi="Arial" w:cs="Arial"/>
          <w:lang w:val="en-GB"/>
        </w:rPr>
      </w:pPr>
    </w:p>
    <w:p w14:paraId="6D57F7CE" w14:textId="77777777" w:rsidR="000B38B1" w:rsidRPr="00BB15B8" w:rsidRDefault="000B38B1" w:rsidP="0011114F">
      <w:pPr>
        <w:rPr>
          <w:rFonts w:ascii="Arial" w:hAnsi="Arial" w:cs="Arial"/>
          <w:lang w:val="en-GB"/>
        </w:rPr>
      </w:pPr>
    </w:p>
    <w:p w14:paraId="62CA952B" w14:textId="77777777" w:rsidR="002D48A1" w:rsidRPr="00BB15B8" w:rsidRDefault="002D48A1" w:rsidP="0011114F">
      <w:pPr>
        <w:rPr>
          <w:rFonts w:ascii="Arial" w:hAnsi="Arial" w:cs="Arial"/>
          <w:lang w:val="en-GB"/>
        </w:rPr>
      </w:pPr>
    </w:p>
    <w:p w14:paraId="10C96BDD" w14:textId="77777777" w:rsidR="002D48A1" w:rsidRPr="00BB15B8" w:rsidRDefault="002D48A1" w:rsidP="0011114F">
      <w:pPr>
        <w:rPr>
          <w:rFonts w:ascii="Arial" w:hAnsi="Arial" w:cs="Arial"/>
          <w:lang w:val="en-GB"/>
        </w:rPr>
      </w:pPr>
    </w:p>
    <w:p w14:paraId="1A3BBD94" w14:textId="77777777" w:rsidR="0023761A" w:rsidRPr="00BB15B8" w:rsidRDefault="0023761A" w:rsidP="0011114F">
      <w:pPr>
        <w:rPr>
          <w:rFonts w:ascii="Arial" w:hAnsi="Arial" w:cs="Arial"/>
          <w:lang w:val="en-GB"/>
        </w:rPr>
      </w:pPr>
    </w:p>
    <w:p w14:paraId="53CF0925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B646D68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28298C3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CF7AAC8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E47268C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1D4AA36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2663EED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21D1640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50E6024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654BB2CF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78943F1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D453597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674E47FA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4DA6C4E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FD39A12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5575AD9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C4420A8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89B1AB9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4A39C8E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8E56D77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DBA720C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7928675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1D3C431" w14:textId="77777777" w:rsidR="000D6B45" w:rsidRPr="00BB15B8" w:rsidRDefault="000D6B45" w:rsidP="002D48A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9AA47C6" w14:textId="5A1B621F" w:rsidR="003037FE" w:rsidRPr="00BB15B8" w:rsidRDefault="002D48A1" w:rsidP="06C889FA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BB15B8">
        <w:rPr>
          <w:rFonts w:ascii="Arial" w:hAnsi="Arial" w:cs="Arial"/>
          <w:b/>
          <w:bCs/>
          <w:sz w:val="22"/>
          <w:szCs w:val="22"/>
          <w:u w:val="single"/>
          <w:lang w:val="en-GB"/>
        </w:rPr>
        <w:lastRenderedPageBreak/>
        <w:t>Background</w:t>
      </w:r>
    </w:p>
    <w:p w14:paraId="21FF7F80" w14:textId="172A09F2" w:rsidR="003037FE" w:rsidRPr="00BB15B8" w:rsidRDefault="00AC24CC" w:rsidP="00E20CB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The Gwent Public Service Board (PSB) agreed that a strategic task and finish group </w:t>
      </w:r>
      <w:r w:rsidR="00B20F4C" w:rsidRPr="00BB15B8">
        <w:rPr>
          <w:rFonts w:ascii="Arial" w:hAnsi="Arial" w:cs="Arial"/>
          <w:sz w:val="22"/>
          <w:szCs w:val="22"/>
          <w:lang w:val="en-GB"/>
        </w:rPr>
        <w:t xml:space="preserve">(CSP Review Group) 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would be formed with the intention of </w:t>
      </w:r>
      <w:r w:rsidR="00D73FD0" w:rsidRPr="00BB15B8">
        <w:rPr>
          <w:rFonts w:ascii="Arial" w:hAnsi="Arial" w:cs="Arial"/>
          <w:sz w:val="22"/>
          <w:szCs w:val="22"/>
          <w:lang w:val="en-GB"/>
        </w:rPr>
        <w:t xml:space="preserve">reviewing the pan-Gwent approach to </w:t>
      </w:r>
      <w:r w:rsidR="00A24EC9" w:rsidRPr="00BB15B8">
        <w:rPr>
          <w:rFonts w:ascii="Arial" w:hAnsi="Arial" w:cs="Arial"/>
          <w:sz w:val="22"/>
          <w:szCs w:val="22"/>
          <w:lang w:val="en-GB"/>
        </w:rPr>
        <w:t>Community Safety</w:t>
      </w:r>
      <w:r w:rsidR="00572819" w:rsidRPr="00BB15B8">
        <w:rPr>
          <w:rFonts w:ascii="Arial" w:hAnsi="Arial" w:cs="Arial"/>
          <w:sz w:val="22"/>
          <w:szCs w:val="22"/>
          <w:lang w:val="en-GB"/>
        </w:rPr>
        <w:t>.</w:t>
      </w:r>
    </w:p>
    <w:p w14:paraId="595E3429" w14:textId="60607E68" w:rsidR="00A24EC9" w:rsidRPr="00BB15B8" w:rsidRDefault="00A24EC9" w:rsidP="00E20CB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>The strategic aim</w:t>
      </w:r>
      <w:r w:rsidR="00652782" w:rsidRPr="00BB15B8">
        <w:rPr>
          <w:rFonts w:ascii="Arial" w:hAnsi="Arial" w:cs="Arial"/>
          <w:sz w:val="22"/>
          <w:szCs w:val="22"/>
          <w:lang w:val="en-GB"/>
        </w:rPr>
        <w:t>s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B20F4C" w:rsidRPr="00BB15B8">
        <w:rPr>
          <w:rFonts w:ascii="Arial" w:hAnsi="Arial" w:cs="Arial"/>
          <w:sz w:val="22"/>
          <w:szCs w:val="22"/>
          <w:lang w:val="en-GB"/>
        </w:rPr>
        <w:t>C</w:t>
      </w:r>
      <w:r w:rsidR="00572819" w:rsidRPr="00BB15B8">
        <w:rPr>
          <w:rFonts w:ascii="Arial" w:hAnsi="Arial" w:cs="Arial"/>
          <w:sz w:val="22"/>
          <w:szCs w:val="22"/>
          <w:lang w:val="en-GB"/>
        </w:rPr>
        <w:t xml:space="preserve">ommunity Safety </w:t>
      </w:r>
      <w:r w:rsidR="00E6598B" w:rsidRPr="00BB15B8">
        <w:rPr>
          <w:rFonts w:ascii="Arial" w:hAnsi="Arial" w:cs="Arial"/>
          <w:sz w:val="22"/>
          <w:szCs w:val="22"/>
          <w:lang w:val="en-GB"/>
        </w:rPr>
        <w:t>Partnership (C</w:t>
      </w:r>
      <w:r w:rsidR="00B20F4C" w:rsidRPr="00BB15B8">
        <w:rPr>
          <w:rFonts w:ascii="Arial" w:hAnsi="Arial" w:cs="Arial"/>
          <w:sz w:val="22"/>
          <w:szCs w:val="22"/>
          <w:lang w:val="en-GB"/>
        </w:rPr>
        <w:t>SP</w:t>
      </w:r>
      <w:r w:rsidR="00E6598B" w:rsidRPr="00BB15B8">
        <w:rPr>
          <w:rFonts w:ascii="Arial" w:hAnsi="Arial" w:cs="Arial"/>
          <w:sz w:val="22"/>
          <w:szCs w:val="22"/>
          <w:lang w:val="en-GB"/>
        </w:rPr>
        <w:t>)</w:t>
      </w:r>
      <w:r w:rsidR="00B20F4C" w:rsidRPr="00BB15B8">
        <w:rPr>
          <w:rFonts w:ascii="Arial" w:hAnsi="Arial" w:cs="Arial"/>
          <w:sz w:val="22"/>
          <w:szCs w:val="22"/>
          <w:lang w:val="en-GB"/>
        </w:rPr>
        <w:t xml:space="preserve"> Review Group</w:t>
      </w:r>
      <w:r w:rsidR="00652782" w:rsidRPr="00BB15B8">
        <w:rPr>
          <w:rFonts w:ascii="Arial" w:hAnsi="Arial" w:cs="Arial"/>
          <w:sz w:val="22"/>
          <w:szCs w:val="22"/>
          <w:lang w:val="en-GB"/>
        </w:rPr>
        <w:t xml:space="preserve"> are:</w:t>
      </w:r>
    </w:p>
    <w:p w14:paraId="7AFDB68C" w14:textId="1270FE28" w:rsidR="00652782" w:rsidRPr="00BB15B8" w:rsidRDefault="00652782" w:rsidP="00E20CB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Ensure that </w:t>
      </w:r>
      <w:r w:rsidR="00564614">
        <w:rPr>
          <w:rFonts w:ascii="Arial" w:hAnsi="Arial" w:cs="Arial"/>
          <w:sz w:val="22"/>
          <w:szCs w:val="22"/>
          <w:lang w:val="en-GB"/>
        </w:rPr>
        <w:t>there is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CSP provision across all </w:t>
      </w:r>
      <w:r w:rsidR="00564614">
        <w:rPr>
          <w:rFonts w:ascii="Arial" w:hAnsi="Arial" w:cs="Arial"/>
          <w:sz w:val="22"/>
          <w:szCs w:val="22"/>
          <w:lang w:val="en-GB"/>
        </w:rPr>
        <w:t>areas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of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Gwent;</w:t>
      </w:r>
      <w:proofErr w:type="gramEnd"/>
    </w:p>
    <w:p w14:paraId="13DEE744" w14:textId="71F09B87" w:rsidR="00652782" w:rsidRPr="00BB15B8" w:rsidRDefault="00887331" w:rsidP="00E20CB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Create consistency in terms of </w:t>
      </w:r>
      <w:r w:rsidR="003B03AF" w:rsidRPr="00BB15B8">
        <w:rPr>
          <w:rFonts w:ascii="Arial" w:hAnsi="Arial" w:cs="Arial"/>
          <w:sz w:val="22"/>
          <w:szCs w:val="22"/>
          <w:lang w:val="en-GB"/>
        </w:rPr>
        <w:t>principles</w:t>
      </w:r>
      <w:r w:rsidR="00A41D12" w:rsidRPr="00BB15B8">
        <w:rPr>
          <w:rFonts w:ascii="Arial" w:hAnsi="Arial" w:cs="Arial"/>
          <w:sz w:val="22"/>
          <w:szCs w:val="22"/>
          <w:lang w:val="en-GB"/>
        </w:rPr>
        <w:t xml:space="preserve">/framework for each CSP, </w:t>
      </w:r>
      <w:r w:rsidR="002F3883">
        <w:rPr>
          <w:rFonts w:ascii="Arial" w:hAnsi="Arial" w:cs="Arial"/>
          <w:sz w:val="22"/>
          <w:szCs w:val="22"/>
          <w:lang w:val="en-GB"/>
        </w:rPr>
        <w:t xml:space="preserve">flexible enough to consider </w:t>
      </w:r>
      <w:r w:rsidR="00A41D12" w:rsidRPr="00BB15B8">
        <w:rPr>
          <w:rFonts w:ascii="Arial" w:hAnsi="Arial" w:cs="Arial"/>
          <w:sz w:val="22"/>
          <w:szCs w:val="22"/>
          <w:lang w:val="en-GB"/>
        </w:rPr>
        <w:t>local conditions</w:t>
      </w:r>
      <w:r w:rsidR="00566D4B" w:rsidRPr="00BB15B8">
        <w:rPr>
          <w:rFonts w:ascii="Arial" w:hAnsi="Arial" w:cs="Arial"/>
          <w:sz w:val="22"/>
          <w:szCs w:val="22"/>
          <w:lang w:val="en-GB"/>
        </w:rPr>
        <w:t xml:space="preserve">, needs and </w:t>
      </w:r>
      <w:r w:rsidR="008630A4" w:rsidRPr="00BB15B8">
        <w:rPr>
          <w:rFonts w:ascii="Arial" w:hAnsi="Arial" w:cs="Arial"/>
          <w:sz w:val="22"/>
          <w:szCs w:val="22"/>
          <w:lang w:val="en-GB"/>
        </w:rPr>
        <w:t xml:space="preserve">community </w:t>
      </w:r>
      <w:proofErr w:type="gramStart"/>
      <w:r w:rsidR="008630A4" w:rsidRPr="00BB15B8">
        <w:rPr>
          <w:rFonts w:ascii="Arial" w:hAnsi="Arial" w:cs="Arial"/>
          <w:sz w:val="22"/>
          <w:szCs w:val="22"/>
          <w:lang w:val="en-GB"/>
        </w:rPr>
        <w:t>issues</w:t>
      </w:r>
      <w:r w:rsidR="00A41D12" w:rsidRPr="00BB15B8"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5FE50D46" w14:textId="706CB841" w:rsidR="00EB5905" w:rsidRPr="00A846F4" w:rsidRDefault="00031A70" w:rsidP="00A846F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Define the arrangements that will </w:t>
      </w:r>
      <w:r w:rsidR="00377DCE" w:rsidRPr="00BB15B8">
        <w:rPr>
          <w:rFonts w:ascii="Arial" w:hAnsi="Arial" w:cs="Arial"/>
          <w:sz w:val="22"/>
          <w:szCs w:val="22"/>
          <w:lang w:val="en-GB"/>
        </w:rPr>
        <w:t>explain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how </w:t>
      </w:r>
      <w:r w:rsidR="00C150CC" w:rsidRPr="00BB15B8">
        <w:rPr>
          <w:rFonts w:ascii="Arial" w:hAnsi="Arial" w:cs="Arial"/>
          <w:sz w:val="22"/>
          <w:szCs w:val="22"/>
          <w:lang w:val="en-GB"/>
        </w:rPr>
        <w:t>the CSPs</w:t>
      </w:r>
      <w:r w:rsidR="00377DCE" w:rsidRPr="00BB15B8">
        <w:rPr>
          <w:rFonts w:ascii="Arial" w:hAnsi="Arial" w:cs="Arial"/>
          <w:sz w:val="22"/>
          <w:szCs w:val="22"/>
          <w:lang w:val="en-GB"/>
        </w:rPr>
        <w:t xml:space="preserve"> will</w:t>
      </w:r>
      <w:r w:rsidR="00C150CC" w:rsidRPr="00BB15B8">
        <w:rPr>
          <w:rFonts w:ascii="Arial" w:hAnsi="Arial" w:cs="Arial"/>
          <w:sz w:val="22"/>
          <w:szCs w:val="22"/>
          <w:lang w:val="en-GB"/>
        </w:rPr>
        <w:t xml:space="preserve"> </w:t>
      </w:r>
      <w:r w:rsidR="003B18D0" w:rsidRPr="00BB15B8">
        <w:rPr>
          <w:rFonts w:ascii="Arial" w:hAnsi="Arial" w:cs="Arial"/>
          <w:sz w:val="22"/>
          <w:szCs w:val="22"/>
          <w:lang w:val="en-GB"/>
        </w:rPr>
        <w:t>provide assurance to</w:t>
      </w:r>
      <w:r w:rsidR="00C150CC" w:rsidRPr="00BB15B8">
        <w:rPr>
          <w:rFonts w:ascii="Arial" w:hAnsi="Arial" w:cs="Arial"/>
          <w:sz w:val="22"/>
          <w:szCs w:val="22"/>
          <w:lang w:val="en-GB"/>
        </w:rPr>
        <w:t xml:space="preserve"> the </w:t>
      </w:r>
      <w:r w:rsidR="00330B4F" w:rsidRPr="00BB15B8">
        <w:rPr>
          <w:rFonts w:ascii="Arial" w:hAnsi="Arial" w:cs="Arial"/>
          <w:sz w:val="22"/>
          <w:szCs w:val="22"/>
          <w:lang w:val="en-GB"/>
        </w:rPr>
        <w:t xml:space="preserve">PSB in terms of statutory </w:t>
      </w:r>
      <w:r w:rsidR="00377DCE" w:rsidRPr="00BB15B8">
        <w:rPr>
          <w:rFonts w:ascii="Arial" w:hAnsi="Arial" w:cs="Arial"/>
          <w:sz w:val="22"/>
          <w:szCs w:val="22"/>
          <w:lang w:val="en-GB"/>
        </w:rPr>
        <w:t>responsibilities.</w:t>
      </w:r>
    </w:p>
    <w:p w14:paraId="5FED87F4" w14:textId="0FFEFF64" w:rsidR="00066D9D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CSPs across England &amp; Wales have numerous duties that fall to them, and those in Wales have some additional duties as provided by the Welsh Government. Those duties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includ</w:t>
      </w:r>
      <w:r>
        <w:rPr>
          <w:rFonts w:ascii="Arial" w:hAnsi="Arial" w:cs="Arial"/>
          <w:sz w:val="22"/>
          <w:szCs w:val="22"/>
          <w:lang w:val="en-GB"/>
        </w:rPr>
        <w:t>e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but </w:t>
      </w:r>
      <w:r>
        <w:rPr>
          <w:rFonts w:ascii="Arial" w:hAnsi="Arial" w:cs="Arial"/>
          <w:sz w:val="22"/>
          <w:szCs w:val="22"/>
          <w:lang w:val="en-GB"/>
        </w:rPr>
        <w:t xml:space="preserve">are </w:t>
      </w:r>
      <w:r w:rsidRPr="00BB15B8">
        <w:rPr>
          <w:rFonts w:ascii="Arial" w:hAnsi="Arial" w:cs="Arial"/>
          <w:sz w:val="22"/>
          <w:szCs w:val="22"/>
          <w:lang w:val="en-GB"/>
        </w:rPr>
        <w:t>not limited to:</w:t>
      </w:r>
    </w:p>
    <w:p w14:paraId="368574BB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38DC02A6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CE1DE9">
        <w:rPr>
          <w:rFonts w:ascii="Arial" w:hAnsi="Arial" w:cs="Arial"/>
          <w:sz w:val="22"/>
          <w:szCs w:val="22"/>
          <w:lang w:val="en-GB"/>
        </w:rPr>
        <w:t xml:space="preserve">Commissioning </w:t>
      </w:r>
      <w:r w:rsidRPr="00BB15B8">
        <w:rPr>
          <w:rFonts w:ascii="Arial" w:hAnsi="Arial" w:cs="Arial"/>
          <w:sz w:val="22"/>
          <w:szCs w:val="22"/>
          <w:lang w:val="en-GB"/>
        </w:rPr>
        <w:t>Domestic Homicide Review (DHRs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);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B5E768A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Anti-Social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Behaviour;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1F67CFA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>Violence against Women, Domestic Abuse and Sexual Violence (Wales)</w:t>
      </w:r>
      <w:r>
        <w:rPr>
          <w:rFonts w:ascii="Arial" w:hAnsi="Arial" w:cs="Arial"/>
          <w:sz w:val="22"/>
          <w:szCs w:val="22"/>
          <w:lang w:val="en-GB"/>
        </w:rPr>
        <w:t xml:space="preserve"> (VAWDASV</w:t>
      </w:r>
      <w:proofErr w:type="gramStart"/>
      <w:r>
        <w:rPr>
          <w:rFonts w:ascii="Arial" w:hAnsi="Arial" w:cs="Arial"/>
          <w:sz w:val="22"/>
          <w:szCs w:val="22"/>
          <w:lang w:val="en-GB"/>
        </w:rPr>
        <w:t>);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8254B94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Counter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Terrorism;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9D12E8E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Wellbeing and Future Generations (Wales)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Act;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8F3C37F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Serious Violence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Duty;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A9FA4AC" w14:textId="77777777" w:rsidR="00066D9D" w:rsidRPr="00BB15B8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>Protect Duty</w:t>
      </w:r>
      <w:r>
        <w:rPr>
          <w:rFonts w:ascii="Arial" w:hAnsi="Arial" w:cs="Arial"/>
          <w:sz w:val="22"/>
          <w:szCs w:val="22"/>
          <w:lang w:val="en-GB"/>
        </w:rPr>
        <w:t>, and</w:t>
      </w:r>
    </w:p>
    <w:p w14:paraId="297D238B" w14:textId="77777777" w:rsidR="00066D9D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>Wellbeing Plans.</w:t>
      </w:r>
    </w:p>
    <w:p w14:paraId="40C942CB" w14:textId="77777777" w:rsidR="00066D9D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0414418A" w14:textId="77777777" w:rsidR="00066D9D" w:rsidRPr="00CE1DE9" w:rsidRDefault="00066D9D" w:rsidP="00066D9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CE1DE9">
        <w:rPr>
          <w:rFonts w:ascii="Arial" w:hAnsi="Arial" w:cs="Arial"/>
          <w:sz w:val="22"/>
          <w:szCs w:val="22"/>
          <w:lang w:val="en-GB"/>
        </w:rPr>
        <w:t xml:space="preserve">Each CSP is required to develop a Needs Assessment for their area, and requisite delivery strategies and plans.  </w:t>
      </w:r>
    </w:p>
    <w:p w14:paraId="690AD72B" w14:textId="77777777" w:rsidR="00066D9D" w:rsidRDefault="00066D9D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6A4D66C3" w14:textId="2F7A3331" w:rsidR="001A1B8B" w:rsidRPr="00BB15B8" w:rsidRDefault="001A1B8B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B15B8">
        <w:rPr>
          <w:rFonts w:ascii="Arial" w:hAnsi="Arial" w:cs="Arial"/>
          <w:sz w:val="22"/>
          <w:szCs w:val="22"/>
          <w:lang w:val="en-GB"/>
        </w:rPr>
        <w:t xml:space="preserve">Gwent is relatively small in terms of geography and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population,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however </w:t>
      </w:r>
      <w:r w:rsidRPr="00BB15B8">
        <w:rPr>
          <w:rFonts w:ascii="Arial" w:hAnsi="Arial" w:cs="Arial"/>
          <w:sz w:val="22"/>
          <w:szCs w:val="22"/>
          <w:lang w:val="en-GB"/>
        </w:rPr>
        <w:t>the five Local Authority areas differ vastly in terms of their communities</w:t>
      </w:r>
      <w:r>
        <w:rPr>
          <w:rStyle w:val="FootnoteReference"/>
          <w:rFonts w:ascii="Arial" w:hAnsi="Arial" w:cs="Arial"/>
          <w:sz w:val="22"/>
          <w:szCs w:val="22"/>
          <w:lang w:val="en-GB"/>
        </w:rPr>
        <w:footnoteReference w:id="1"/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F2A9F80" w14:textId="77777777" w:rsidR="00275859" w:rsidRDefault="00275859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45E579C6" w14:textId="39C15A32" w:rsidR="00351B82" w:rsidRDefault="00B00762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Whilst</w:t>
      </w:r>
      <w:r w:rsidR="00275859" w:rsidRPr="00BB15B8">
        <w:rPr>
          <w:rFonts w:ascii="Arial" w:hAnsi="Arial" w:cs="Arial"/>
          <w:sz w:val="22"/>
          <w:szCs w:val="22"/>
          <w:lang w:val="en-GB"/>
        </w:rPr>
        <w:t xml:space="preserve"> a local approach is </w:t>
      </w:r>
      <w:r w:rsidR="00845456" w:rsidRPr="00BB15B8">
        <w:rPr>
          <w:rFonts w:ascii="Arial" w:hAnsi="Arial" w:cs="Arial"/>
          <w:sz w:val="22"/>
          <w:szCs w:val="22"/>
          <w:lang w:val="en-GB"/>
        </w:rPr>
        <w:t>needed</w:t>
      </w:r>
      <w:r w:rsidR="00275859" w:rsidRPr="00BB15B8">
        <w:rPr>
          <w:rFonts w:ascii="Arial" w:hAnsi="Arial" w:cs="Arial"/>
          <w:sz w:val="22"/>
          <w:szCs w:val="22"/>
          <w:lang w:val="en-GB"/>
        </w:rPr>
        <w:t xml:space="preserve"> to the tactical </w:t>
      </w:r>
      <w:r w:rsidR="007D26B6" w:rsidRPr="00BB15B8">
        <w:rPr>
          <w:rFonts w:ascii="Arial" w:hAnsi="Arial" w:cs="Arial"/>
          <w:sz w:val="22"/>
          <w:szCs w:val="22"/>
          <w:lang w:val="en-GB"/>
        </w:rPr>
        <w:t>delive</w:t>
      </w:r>
      <w:r w:rsidR="00740DBF" w:rsidRPr="00BB15B8">
        <w:rPr>
          <w:rFonts w:ascii="Arial" w:hAnsi="Arial" w:cs="Arial"/>
          <w:sz w:val="22"/>
          <w:szCs w:val="22"/>
          <w:lang w:val="en-GB"/>
        </w:rPr>
        <w:t xml:space="preserve">ry to tackle these problems, a significant amount of the background work e.g. data collection, data sharing, </w:t>
      </w:r>
      <w:r w:rsidR="00027379" w:rsidRPr="00BB15B8">
        <w:rPr>
          <w:rFonts w:ascii="Arial" w:hAnsi="Arial" w:cs="Arial"/>
          <w:sz w:val="22"/>
          <w:szCs w:val="22"/>
          <w:lang w:val="en-GB"/>
        </w:rPr>
        <w:t xml:space="preserve">pooling of administrative resource </w:t>
      </w:r>
      <w:r>
        <w:rPr>
          <w:rFonts w:ascii="Arial" w:hAnsi="Arial" w:cs="Arial"/>
          <w:sz w:val="22"/>
          <w:szCs w:val="22"/>
          <w:lang w:val="en-GB"/>
        </w:rPr>
        <w:t xml:space="preserve">is </w:t>
      </w:r>
      <w:r w:rsidR="00027379" w:rsidRPr="00BB15B8">
        <w:rPr>
          <w:rFonts w:ascii="Arial" w:hAnsi="Arial" w:cs="Arial"/>
          <w:sz w:val="22"/>
          <w:szCs w:val="22"/>
          <w:lang w:val="en-GB"/>
        </w:rPr>
        <w:t xml:space="preserve">possible on a pan-Gwent basis. </w:t>
      </w:r>
    </w:p>
    <w:p w14:paraId="590FE970" w14:textId="77777777" w:rsidR="00351B82" w:rsidRDefault="00351B82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6AB0056D" w14:textId="190D995D" w:rsidR="00275859" w:rsidRPr="002B661D" w:rsidRDefault="00CE211B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027379" w:rsidRPr="00BB15B8">
        <w:rPr>
          <w:rFonts w:ascii="Arial" w:hAnsi="Arial" w:cs="Arial"/>
          <w:sz w:val="22"/>
          <w:szCs w:val="22"/>
          <w:lang w:val="en-GB"/>
        </w:rPr>
        <w:t>o achieve this, there needs consistency in terms of</w:t>
      </w:r>
      <w:r w:rsidR="009D14FC">
        <w:rPr>
          <w:rFonts w:ascii="Arial" w:hAnsi="Arial" w:cs="Arial"/>
          <w:sz w:val="22"/>
          <w:szCs w:val="22"/>
          <w:lang w:val="en-GB"/>
        </w:rPr>
        <w:t xml:space="preserve"> the CSP </w:t>
      </w:r>
      <w:r w:rsidR="00027379" w:rsidRPr="00BB15B8">
        <w:rPr>
          <w:rFonts w:ascii="Arial" w:hAnsi="Arial" w:cs="Arial"/>
          <w:sz w:val="22"/>
          <w:szCs w:val="22"/>
          <w:lang w:val="en-GB"/>
        </w:rPr>
        <w:t xml:space="preserve">structure, the </w:t>
      </w:r>
      <w:proofErr w:type="gramStart"/>
      <w:r w:rsidR="00027379" w:rsidRPr="00BB15B8">
        <w:rPr>
          <w:rFonts w:ascii="Arial" w:hAnsi="Arial" w:cs="Arial"/>
          <w:sz w:val="22"/>
          <w:szCs w:val="22"/>
          <w:lang w:val="en-GB"/>
        </w:rPr>
        <w:t>information</w:t>
      </w:r>
      <w:proofErr w:type="gramEnd"/>
      <w:r w:rsidR="00027379" w:rsidRPr="00BB15B8">
        <w:rPr>
          <w:rFonts w:ascii="Arial" w:hAnsi="Arial" w:cs="Arial"/>
          <w:sz w:val="22"/>
          <w:szCs w:val="22"/>
          <w:lang w:val="en-GB"/>
        </w:rPr>
        <w:t xml:space="preserve"> and data that </w:t>
      </w:r>
      <w:r w:rsidR="009D14FC">
        <w:rPr>
          <w:rFonts w:ascii="Arial" w:hAnsi="Arial" w:cs="Arial"/>
          <w:sz w:val="22"/>
          <w:szCs w:val="22"/>
          <w:lang w:val="en-GB"/>
        </w:rPr>
        <w:t xml:space="preserve">CSPs </w:t>
      </w:r>
      <w:r w:rsidR="00A4102C">
        <w:rPr>
          <w:rFonts w:ascii="Arial" w:hAnsi="Arial" w:cs="Arial"/>
          <w:sz w:val="22"/>
          <w:szCs w:val="22"/>
          <w:lang w:val="en-GB"/>
        </w:rPr>
        <w:t>request</w:t>
      </w:r>
      <w:r w:rsidR="00027379" w:rsidRPr="00BB15B8">
        <w:rPr>
          <w:rFonts w:ascii="Arial" w:hAnsi="Arial" w:cs="Arial"/>
          <w:sz w:val="22"/>
          <w:szCs w:val="22"/>
          <w:lang w:val="en-GB"/>
        </w:rPr>
        <w:t>/us</w:t>
      </w:r>
      <w:r w:rsidR="009D14FC">
        <w:rPr>
          <w:rFonts w:ascii="Arial" w:hAnsi="Arial" w:cs="Arial"/>
          <w:sz w:val="22"/>
          <w:szCs w:val="22"/>
          <w:lang w:val="en-GB"/>
        </w:rPr>
        <w:t>e,</w:t>
      </w:r>
      <w:r w:rsidR="00027379" w:rsidRPr="00BB15B8">
        <w:rPr>
          <w:rFonts w:ascii="Arial" w:hAnsi="Arial" w:cs="Arial"/>
          <w:sz w:val="22"/>
          <w:szCs w:val="22"/>
          <w:lang w:val="en-GB"/>
        </w:rPr>
        <w:t xml:space="preserve"> and the level of decision-making </w:t>
      </w:r>
      <w:r w:rsidR="000D6F0A" w:rsidRPr="00BB15B8">
        <w:rPr>
          <w:rFonts w:ascii="Arial" w:hAnsi="Arial" w:cs="Arial"/>
          <w:sz w:val="22"/>
          <w:szCs w:val="22"/>
          <w:lang w:val="en-GB"/>
        </w:rPr>
        <w:t xml:space="preserve">to be at an appropriately senior level </w:t>
      </w:r>
      <w:r w:rsidR="00810A53">
        <w:rPr>
          <w:rFonts w:ascii="Arial" w:hAnsi="Arial" w:cs="Arial"/>
          <w:sz w:val="22"/>
          <w:szCs w:val="22"/>
          <w:lang w:val="en-GB"/>
        </w:rPr>
        <w:t>from</w:t>
      </w:r>
      <w:r w:rsidR="000D6F0A" w:rsidRPr="00BB15B8">
        <w:rPr>
          <w:rFonts w:ascii="Arial" w:hAnsi="Arial" w:cs="Arial"/>
          <w:sz w:val="22"/>
          <w:szCs w:val="22"/>
          <w:lang w:val="en-GB"/>
        </w:rPr>
        <w:t xml:space="preserve"> each </w:t>
      </w:r>
      <w:r w:rsidR="000D6F0A" w:rsidRPr="002B661D">
        <w:rPr>
          <w:rFonts w:ascii="Arial" w:hAnsi="Arial" w:cs="Arial"/>
          <w:sz w:val="22"/>
          <w:szCs w:val="22"/>
          <w:lang w:val="en-GB"/>
        </w:rPr>
        <w:t>organisation</w:t>
      </w:r>
      <w:r w:rsidR="00810A53" w:rsidRPr="002B661D">
        <w:rPr>
          <w:rFonts w:ascii="Arial" w:hAnsi="Arial" w:cs="Arial"/>
          <w:sz w:val="22"/>
          <w:szCs w:val="22"/>
          <w:lang w:val="en-GB"/>
        </w:rPr>
        <w:t xml:space="preserve"> sat within the CSPs</w:t>
      </w:r>
      <w:r w:rsidR="000D6F0A" w:rsidRPr="002B661D">
        <w:rPr>
          <w:rFonts w:ascii="Arial" w:hAnsi="Arial" w:cs="Arial"/>
          <w:sz w:val="22"/>
          <w:szCs w:val="22"/>
          <w:lang w:val="en-GB"/>
        </w:rPr>
        <w:t xml:space="preserve">. </w:t>
      </w:r>
      <w:r w:rsidR="0075662B" w:rsidRPr="002B661D">
        <w:rPr>
          <w:rFonts w:ascii="Arial" w:hAnsi="Arial" w:cs="Arial"/>
          <w:sz w:val="22"/>
          <w:szCs w:val="22"/>
          <w:lang w:val="en-GB"/>
        </w:rPr>
        <w:t xml:space="preserve">There also needs </w:t>
      </w:r>
      <w:r w:rsidR="00A4102C" w:rsidRPr="002B661D">
        <w:rPr>
          <w:rFonts w:ascii="Arial" w:hAnsi="Arial" w:cs="Arial"/>
          <w:sz w:val="22"/>
          <w:szCs w:val="22"/>
          <w:lang w:val="en-GB"/>
        </w:rPr>
        <w:t>a suitable structure</w:t>
      </w:r>
      <w:r w:rsidR="0075662B" w:rsidRPr="002B661D">
        <w:rPr>
          <w:rFonts w:ascii="Arial" w:hAnsi="Arial" w:cs="Arial"/>
          <w:sz w:val="22"/>
          <w:szCs w:val="22"/>
          <w:lang w:val="en-GB"/>
        </w:rPr>
        <w:t xml:space="preserve"> to sit </w:t>
      </w:r>
      <w:r w:rsidR="00CE1DE9" w:rsidRPr="002B661D">
        <w:rPr>
          <w:rFonts w:ascii="Arial" w:hAnsi="Arial" w:cs="Arial"/>
          <w:sz w:val="22"/>
          <w:szCs w:val="22"/>
          <w:lang w:val="en-GB"/>
        </w:rPr>
        <w:t xml:space="preserve">alongside </w:t>
      </w:r>
      <w:r w:rsidR="0075662B" w:rsidRPr="002B661D">
        <w:rPr>
          <w:rFonts w:ascii="Arial" w:hAnsi="Arial" w:cs="Arial"/>
          <w:sz w:val="22"/>
          <w:szCs w:val="22"/>
          <w:lang w:val="en-GB"/>
        </w:rPr>
        <w:t xml:space="preserve">the local CSPs to co-ordinate activity, share best practice and </w:t>
      </w:r>
      <w:r w:rsidR="007E2E11" w:rsidRPr="002B661D">
        <w:rPr>
          <w:rFonts w:ascii="Arial" w:hAnsi="Arial" w:cs="Arial"/>
          <w:sz w:val="22"/>
          <w:szCs w:val="22"/>
          <w:lang w:val="en-GB"/>
        </w:rPr>
        <w:t xml:space="preserve">ensure that </w:t>
      </w:r>
      <w:r w:rsidR="00351B82" w:rsidRPr="002B661D">
        <w:rPr>
          <w:rFonts w:ascii="Arial" w:hAnsi="Arial" w:cs="Arial"/>
          <w:sz w:val="22"/>
          <w:szCs w:val="22"/>
          <w:lang w:val="en-GB"/>
        </w:rPr>
        <w:t xml:space="preserve">overarching issues are raised to the PSB as </w:t>
      </w:r>
      <w:r w:rsidR="00D01DF5" w:rsidRPr="002B661D">
        <w:rPr>
          <w:rFonts w:ascii="Arial" w:hAnsi="Arial" w:cs="Arial"/>
          <w:sz w:val="22"/>
          <w:szCs w:val="22"/>
          <w:lang w:val="en-GB"/>
        </w:rPr>
        <w:t xml:space="preserve">required. </w:t>
      </w:r>
      <w:r w:rsidR="00351B82" w:rsidRPr="002B661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B588CE8" w14:textId="77777777" w:rsidR="00275859" w:rsidRDefault="00275859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62AF86F5" w14:textId="058C7C86" w:rsidR="00351B82" w:rsidRPr="00E96C43" w:rsidRDefault="007E0669" w:rsidP="00E20CBD">
      <w:pPr>
        <w:spacing w:after="0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Ensuring that an effective structure sits in an oversight role over the CSPs will also </w:t>
      </w:r>
      <w:r w:rsidR="008B5DFB">
        <w:rPr>
          <w:rFonts w:ascii="Arial" w:hAnsi="Arial" w:cs="Arial"/>
          <w:sz w:val="22"/>
          <w:szCs w:val="22"/>
          <w:lang w:val="en-GB"/>
        </w:rPr>
        <w:t>future proof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F2B31">
        <w:rPr>
          <w:rFonts w:ascii="Arial" w:hAnsi="Arial" w:cs="Arial"/>
          <w:sz w:val="22"/>
          <w:szCs w:val="22"/>
          <w:lang w:val="en-GB"/>
        </w:rPr>
        <w:t xml:space="preserve">the CSP </w:t>
      </w:r>
      <w:r w:rsidR="009D51DE">
        <w:rPr>
          <w:rFonts w:ascii="Arial" w:hAnsi="Arial" w:cs="Arial"/>
          <w:sz w:val="22"/>
          <w:szCs w:val="22"/>
          <w:lang w:val="en-GB"/>
        </w:rPr>
        <w:t>s</w:t>
      </w:r>
      <w:r w:rsidR="007F2B31">
        <w:rPr>
          <w:rFonts w:ascii="Arial" w:hAnsi="Arial" w:cs="Arial"/>
          <w:sz w:val="22"/>
          <w:szCs w:val="22"/>
          <w:lang w:val="en-GB"/>
        </w:rPr>
        <w:t xml:space="preserve">tructure </w:t>
      </w:r>
      <w:r w:rsidR="00E41ECE">
        <w:rPr>
          <w:rFonts w:ascii="Arial" w:hAnsi="Arial" w:cs="Arial"/>
          <w:sz w:val="22"/>
          <w:szCs w:val="22"/>
          <w:lang w:val="en-GB"/>
        </w:rPr>
        <w:t xml:space="preserve">should </w:t>
      </w:r>
      <w:r w:rsidR="007952A1">
        <w:rPr>
          <w:rFonts w:ascii="Arial" w:hAnsi="Arial" w:cs="Arial"/>
          <w:sz w:val="22"/>
          <w:szCs w:val="22"/>
          <w:lang w:val="en-GB"/>
        </w:rPr>
        <w:t>the re</w:t>
      </w:r>
      <w:r w:rsidR="00BA09F6">
        <w:rPr>
          <w:rFonts w:ascii="Arial" w:hAnsi="Arial" w:cs="Arial"/>
          <w:sz w:val="22"/>
          <w:szCs w:val="22"/>
          <w:lang w:val="en-GB"/>
        </w:rPr>
        <w:t>commendation</w:t>
      </w:r>
      <w:r w:rsidR="00167083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2"/>
      </w:r>
      <w:r w:rsidR="00BA09F6">
        <w:rPr>
          <w:rFonts w:ascii="Arial" w:hAnsi="Arial" w:cs="Arial"/>
          <w:sz w:val="22"/>
          <w:szCs w:val="22"/>
          <w:lang w:val="en-GB"/>
        </w:rPr>
        <w:t xml:space="preserve"> be accepted </w:t>
      </w:r>
      <w:r w:rsidR="003D4B68">
        <w:rPr>
          <w:rFonts w:ascii="Arial" w:hAnsi="Arial" w:cs="Arial"/>
          <w:sz w:val="22"/>
          <w:szCs w:val="22"/>
          <w:lang w:val="en-GB"/>
        </w:rPr>
        <w:t xml:space="preserve">that would place a duty on </w:t>
      </w:r>
      <w:r w:rsidR="00BA09F6">
        <w:rPr>
          <w:rFonts w:ascii="Arial" w:hAnsi="Arial" w:cs="Arial"/>
          <w:sz w:val="22"/>
          <w:szCs w:val="22"/>
          <w:lang w:val="en-GB"/>
        </w:rPr>
        <w:t xml:space="preserve">CSPs </w:t>
      </w:r>
      <w:r w:rsidR="00BA09F6" w:rsidRPr="00CE1DE9">
        <w:rPr>
          <w:rFonts w:ascii="Arial" w:hAnsi="Arial" w:cs="Arial"/>
          <w:sz w:val="22"/>
          <w:szCs w:val="22"/>
          <w:lang w:val="en-GB"/>
        </w:rPr>
        <w:t xml:space="preserve">to report on </w:t>
      </w:r>
      <w:r w:rsidR="003D4B68" w:rsidRPr="00CE1DE9">
        <w:rPr>
          <w:rFonts w:ascii="Arial" w:hAnsi="Arial" w:cs="Arial"/>
          <w:sz w:val="22"/>
          <w:szCs w:val="22"/>
          <w:lang w:val="en-GB"/>
        </w:rPr>
        <w:t xml:space="preserve">their </w:t>
      </w:r>
      <w:r w:rsidR="00BA09F6" w:rsidRPr="00CE1DE9">
        <w:rPr>
          <w:rFonts w:ascii="Arial" w:hAnsi="Arial" w:cs="Arial"/>
          <w:sz w:val="22"/>
          <w:szCs w:val="22"/>
          <w:lang w:val="en-GB"/>
        </w:rPr>
        <w:t xml:space="preserve">local ASB strategy and delivery to PCCs in </w:t>
      </w:r>
      <w:r w:rsidR="003D4B68" w:rsidRPr="00CE1DE9">
        <w:rPr>
          <w:rFonts w:ascii="Arial" w:hAnsi="Arial" w:cs="Arial"/>
          <w:sz w:val="22"/>
          <w:szCs w:val="22"/>
          <w:lang w:val="en-GB"/>
        </w:rPr>
        <w:t xml:space="preserve">future legislation. </w:t>
      </w:r>
      <w:r w:rsidR="00E96C43" w:rsidRPr="00CE1DE9">
        <w:rPr>
          <w:rFonts w:ascii="Arial" w:hAnsi="Arial" w:cs="Arial"/>
          <w:sz w:val="22"/>
          <w:szCs w:val="22"/>
          <w:lang w:val="en-GB"/>
        </w:rPr>
        <w:t>This is currently a proposal being shaped by the Home Office</w:t>
      </w:r>
      <w:r w:rsidR="0043748B" w:rsidRPr="00CE1DE9">
        <w:rPr>
          <w:rFonts w:ascii="Arial" w:hAnsi="Arial" w:cs="Arial"/>
          <w:sz w:val="22"/>
          <w:szCs w:val="22"/>
          <w:lang w:val="en-GB"/>
        </w:rPr>
        <w:t xml:space="preserve"> as part of a national review into community safety, ASB and CSPs</w:t>
      </w:r>
      <w:r w:rsidR="00E96C43" w:rsidRPr="00CE1DE9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D919DAA" w14:textId="77777777" w:rsidR="002C274E" w:rsidRDefault="002C274E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780346C7" w14:textId="77777777" w:rsidR="00B70C32" w:rsidRDefault="00B70C32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341A19E2" w14:textId="77777777" w:rsidR="00B70C32" w:rsidRPr="00BB15B8" w:rsidRDefault="00B70C32" w:rsidP="00E20CBD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5392D458" w14:textId="1232D9B1" w:rsidR="06C889FA" w:rsidRPr="00BB15B8" w:rsidRDefault="002D48A1" w:rsidP="06C889FA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B15B8">
        <w:rPr>
          <w:rFonts w:ascii="Arial" w:hAnsi="Arial" w:cs="Arial"/>
          <w:b/>
          <w:sz w:val="22"/>
          <w:szCs w:val="22"/>
          <w:u w:val="single"/>
          <w:lang w:val="en-GB"/>
        </w:rPr>
        <w:t>Issues for Consideration</w:t>
      </w:r>
    </w:p>
    <w:p w14:paraId="2B52DD10" w14:textId="0C028895" w:rsidR="00FC0A22" w:rsidRDefault="00DD0035" w:rsidP="000E4E99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sz w:val="22"/>
          <w:szCs w:val="22"/>
          <w:lang w:val="en-GB"/>
        </w:rPr>
      </w:pPr>
      <w:r w:rsidRPr="000E4E99">
        <w:rPr>
          <w:rFonts w:ascii="Arial" w:hAnsi="Arial" w:cs="Arial"/>
          <w:b/>
          <w:bCs/>
          <w:sz w:val="22"/>
          <w:szCs w:val="22"/>
          <w:lang w:val="en-GB"/>
        </w:rPr>
        <w:t xml:space="preserve">Structure of CSP oversight </w:t>
      </w:r>
    </w:p>
    <w:p w14:paraId="5A7BC589" w14:textId="77777777" w:rsidR="0083226E" w:rsidRPr="00854258" w:rsidRDefault="0083226E" w:rsidP="0083226E">
      <w:pPr>
        <w:pStyle w:val="ListParagraph"/>
        <w:spacing w:after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1D4532" w14:textId="3B91CF5F" w:rsidR="00864DF3" w:rsidRPr="00BB15B8" w:rsidRDefault="0083226E" w:rsidP="06C889FA">
      <w:pPr>
        <w:spacing w:after="0"/>
        <w:rPr>
          <w:rFonts w:ascii="Arial" w:hAnsi="Arial" w:cs="Arial"/>
          <w:b/>
          <w:bCs/>
          <w:sz w:val="22"/>
          <w:szCs w:val="22"/>
          <w:lang w:val="en-GB"/>
        </w:rPr>
      </w:pPr>
      <w:r w:rsidRPr="00854258">
        <w:rPr>
          <w:rFonts w:ascii="Arial" w:hAnsi="Arial" w:cs="Arial"/>
          <w:sz w:val="22"/>
          <w:szCs w:val="22"/>
          <w:lang w:val="en-GB"/>
        </w:rPr>
        <w:t xml:space="preserve">A new group </w:t>
      </w:r>
      <w:r w:rsidR="0045694C">
        <w:rPr>
          <w:rFonts w:ascii="Arial" w:hAnsi="Arial" w:cs="Arial"/>
          <w:sz w:val="22"/>
          <w:szCs w:val="22"/>
          <w:lang w:val="en-GB"/>
        </w:rPr>
        <w:t xml:space="preserve">will be </w:t>
      </w:r>
      <w:r w:rsidRPr="00854258">
        <w:rPr>
          <w:rFonts w:ascii="Arial" w:hAnsi="Arial" w:cs="Arial"/>
          <w:sz w:val="22"/>
          <w:szCs w:val="22"/>
          <w:lang w:val="en-GB"/>
        </w:rPr>
        <w:t xml:space="preserve">established </w:t>
      </w:r>
      <w:r w:rsidR="008B24A7">
        <w:rPr>
          <w:rFonts w:ascii="Arial" w:hAnsi="Arial" w:cs="Arial"/>
          <w:sz w:val="22"/>
          <w:szCs w:val="22"/>
          <w:lang w:val="en-GB"/>
        </w:rPr>
        <w:t xml:space="preserve">to replace Safer Gwent. </w:t>
      </w:r>
      <w:r w:rsidR="002924B7">
        <w:rPr>
          <w:rFonts w:ascii="Arial" w:hAnsi="Arial" w:cs="Arial"/>
          <w:sz w:val="22"/>
          <w:szCs w:val="22"/>
          <w:lang w:val="en-GB"/>
        </w:rPr>
        <w:t xml:space="preserve">This group will provide </w:t>
      </w:r>
      <w:r w:rsidR="007F34F0">
        <w:rPr>
          <w:rFonts w:ascii="Arial" w:hAnsi="Arial" w:cs="Arial"/>
          <w:sz w:val="22"/>
          <w:szCs w:val="22"/>
          <w:lang w:val="en-GB"/>
        </w:rPr>
        <w:t>a strategic partnership</w:t>
      </w:r>
      <w:r w:rsidR="002924B7">
        <w:rPr>
          <w:rFonts w:ascii="Arial" w:hAnsi="Arial" w:cs="Arial"/>
          <w:sz w:val="22"/>
          <w:szCs w:val="22"/>
          <w:lang w:val="en-GB"/>
        </w:rPr>
        <w:t xml:space="preserve"> role over the CSPs</w:t>
      </w:r>
      <w:r w:rsidR="002924B7" w:rsidRPr="00CE1DE9">
        <w:rPr>
          <w:rFonts w:ascii="Arial" w:hAnsi="Arial" w:cs="Arial"/>
          <w:sz w:val="22"/>
          <w:szCs w:val="22"/>
          <w:lang w:val="en-GB"/>
        </w:rPr>
        <w:t xml:space="preserve">, </w:t>
      </w:r>
      <w:r w:rsidR="00006EB4" w:rsidRPr="00CE1DE9">
        <w:rPr>
          <w:rFonts w:ascii="Arial" w:hAnsi="Arial" w:cs="Arial"/>
          <w:sz w:val="22"/>
          <w:szCs w:val="22"/>
          <w:lang w:val="en-GB"/>
        </w:rPr>
        <w:t>delivering programmes of activity that individual CSPs cannot</w:t>
      </w:r>
      <w:r w:rsidR="002931AC" w:rsidRPr="00CE1DE9">
        <w:rPr>
          <w:rFonts w:ascii="Arial" w:hAnsi="Arial" w:cs="Arial"/>
          <w:sz w:val="22"/>
          <w:szCs w:val="22"/>
          <w:lang w:val="en-GB"/>
        </w:rPr>
        <w:t>,</w:t>
      </w:r>
      <w:r w:rsidR="00006EB4" w:rsidRPr="00CE1DE9">
        <w:rPr>
          <w:rFonts w:ascii="Arial" w:hAnsi="Arial" w:cs="Arial"/>
          <w:sz w:val="22"/>
          <w:szCs w:val="22"/>
          <w:lang w:val="en-GB"/>
        </w:rPr>
        <w:t xml:space="preserve"> </w:t>
      </w:r>
      <w:r w:rsidR="002931AC" w:rsidRPr="00CE1DE9">
        <w:rPr>
          <w:rFonts w:ascii="Arial" w:hAnsi="Arial" w:cs="Arial"/>
          <w:sz w:val="22"/>
          <w:szCs w:val="22"/>
          <w:lang w:val="en-GB"/>
        </w:rPr>
        <w:t xml:space="preserve">or would prefer not to, </w:t>
      </w:r>
      <w:r w:rsidR="00006EB4" w:rsidRPr="00CE1DE9">
        <w:rPr>
          <w:rFonts w:ascii="Arial" w:hAnsi="Arial" w:cs="Arial"/>
          <w:sz w:val="22"/>
          <w:szCs w:val="22"/>
          <w:lang w:val="en-GB"/>
        </w:rPr>
        <w:t xml:space="preserve">deliver alone, </w:t>
      </w:r>
      <w:r w:rsidR="002924B7" w:rsidRPr="00CE1DE9">
        <w:rPr>
          <w:rFonts w:ascii="Arial" w:hAnsi="Arial" w:cs="Arial"/>
          <w:sz w:val="22"/>
          <w:szCs w:val="22"/>
          <w:lang w:val="en-GB"/>
        </w:rPr>
        <w:t xml:space="preserve">ensuring best practice is shared, </w:t>
      </w:r>
      <w:r w:rsidR="00453EBF" w:rsidRPr="00CE1DE9">
        <w:rPr>
          <w:rFonts w:ascii="Arial" w:hAnsi="Arial" w:cs="Arial"/>
          <w:sz w:val="22"/>
          <w:szCs w:val="22"/>
          <w:lang w:val="en-GB"/>
        </w:rPr>
        <w:t xml:space="preserve">issues escalated, </w:t>
      </w:r>
      <w:r w:rsidR="002924B7" w:rsidRPr="00CE1DE9">
        <w:rPr>
          <w:rFonts w:ascii="Arial" w:hAnsi="Arial" w:cs="Arial"/>
          <w:sz w:val="22"/>
          <w:szCs w:val="22"/>
          <w:lang w:val="en-GB"/>
        </w:rPr>
        <w:t xml:space="preserve">regional duties are </w:t>
      </w:r>
      <w:r w:rsidR="002A07F7" w:rsidRPr="00CE1DE9">
        <w:rPr>
          <w:rFonts w:ascii="Arial" w:hAnsi="Arial" w:cs="Arial"/>
          <w:sz w:val="22"/>
          <w:szCs w:val="22"/>
          <w:lang w:val="en-GB"/>
        </w:rPr>
        <w:t xml:space="preserve">dealt with at a </w:t>
      </w:r>
      <w:r w:rsidR="002A07F7">
        <w:rPr>
          <w:rFonts w:ascii="Arial" w:hAnsi="Arial" w:cs="Arial"/>
          <w:sz w:val="22"/>
          <w:szCs w:val="22"/>
          <w:lang w:val="en-GB"/>
        </w:rPr>
        <w:t xml:space="preserve">regional level </w:t>
      </w:r>
      <w:proofErr w:type="gramStart"/>
      <w:r w:rsidR="002A07F7">
        <w:rPr>
          <w:rFonts w:ascii="Arial" w:hAnsi="Arial" w:cs="Arial"/>
          <w:sz w:val="22"/>
          <w:szCs w:val="22"/>
          <w:lang w:val="en-GB"/>
        </w:rPr>
        <w:t>and</w:t>
      </w:r>
      <w:r w:rsidR="002924B7">
        <w:rPr>
          <w:rFonts w:ascii="Arial" w:hAnsi="Arial" w:cs="Arial"/>
          <w:sz w:val="22"/>
          <w:szCs w:val="22"/>
          <w:lang w:val="en-GB"/>
        </w:rPr>
        <w:t xml:space="preserve"> also</w:t>
      </w:r>
      <w:proofErr w:type="gramEnd"/>
      <w:r w:rsidR="002924B7">
        <w:rPr>
          <w:rFonts w:ascii="Arial" w:hAnsi="Arial" w:cs="Arial"/>
          <w:sz w:val="22"/>
          <w:szCs w:val="22"/>
          <w:lang w:val="en-GB"/>
        </w:rPr>
        <w:t xml:space="preserve"> future proof the CSP structure</w:t>
      </w:r>
      <w:r w:rsidR="002A07F7">
        <w:rPr>
          <w:rFonts w:ascii="Arial" w:hAnsi="Arial" w:cs="Arial"/>
          <w:sz w:val="22"/>
          <w:szCs w:val="22"/>
          <w:lang w:val="en-GB"/>
        </w:rPr>
        <w:t xml:space="preserve"> should anticipated legislative changes take place. </w:t>
      </w:r>
    </w:p>
    <w:p w14:paraId="0BB7AE2B" w14:textId="77777777" w:rsidR="00864DF3" w:rsidRDefault="00864DF3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2383A" w14:paraId="7EF40F3B" w14:textId="77777777" w:rsidTr="00E757F7">
        <w:tc>
          <w:tcPr>
            <w:tcW w:w="7366" w:type="dxa"/>
          </w:tcPr>
          <w:p w14:paraId="510D1BE5" w14:textId="77777777" w:rsidR="0082383A" w:rsidRPr="00DE4B7E" w:rsidRDefault="0082383A" w:rsidP="00E757F7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E4B7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Mandatory agenda items</w:t>
            </w:r>
          </w:p>
        </w:tc>
      </w:tr>
      <w:tr w:rsidR="0082383A" w14:paraId="3ECAD44A" w14:textId="77777777" w:rsidTr="00E757F7">
        <w:tc>
          <w:tcPr>
            <w:tcW w:w="7366" w:type="dxa"/>
          </w:tcPr>
          <w:p w14:paraId="73F951FA" w14:textId="77777777" w:rsidR="0082383A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PSB update</w:t>
            </w:r>
          </w:p>
        </w:tc>
      </w:tr>
      <w:tr w:rsidR="0082383A" w14:paraId="3634066B" w14:textId="77777777" w:rsidTr="00E757F7">
        <w:tc>
          <w:tcPr>
            <w:tcW w:w="7366" w:type="dxa"/>
          </w:tcPr>
          <w:p w14:paraId="063EE717" w14:textId="2C5FCA3E" w:rsidR="0082383A" w:rsidRDefault="001D78AC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Update from each of five CSPs</w:t>
            </w:r>
          </w:p>
        </w:tc>
      </w:tr>
      <w:tr w:rsidR="0082383A" w14:paraId="2CD28650" w14:textId="77777777" w:rsidTr="00E757F7">
        <w:tc>
          <w:tcPr>
            <w:tcW w:w="7366" w:type="dxa"/>
          </w:tcPr>
          <w:p w14:paraId="04E6FF08" w14:textId="34F79C18" w:rsidR="0082383A" w:rsidRDefault="0016722B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Regional issues/trends &amp; issues required a regional response</w:t>
            </w:r>
          </w:p>
        </w:tc>
      </w:tr>
      <w:tr w:rsidR="0016722B" w14:paraId="6AFA6793" w14:textId="77777777" w:rsidTr="00E757F7">
        <w:tc>
          <w:tcPr>
            <w:tcW w:w="7366" w:type="dxa"/>
          </w:tcPr>
          <w:p w14:paraId="7E2BA233" w14:textId="3FF3478B" w:rsidR="0016722B" w:rsidRDefault="0016722B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Domestic Homicide Reviews (DHRs) – those </w:t>
            </w:r>
            <w:r w:rsidR="000D42ED">
              <w:rPr>
                <w:rFonts w:ascii="Arial" w:hAnsi="Arial" w:cs="Arial"/>
                <w:sz w:val="22"/>
                <w:szCs w:val="22"/>
                <w:lang w:val="en-GB"/>
              </w:rPr>
              <w:t>agreed and those soon to be published</w:t>
            </w:r>
          </w:p>
        </w:tc>
      </w:tr>
      <w:tr w:rsidR="0016722B" w14:paraId="5D9F0C4C" w14:textId="77777777" w:rsidTr="00E757F7">
        <w:tc>
          <w:tcPr>
            <w:tcW w:w="7366" w:type="dxa"/>
          </w:tcPr>
          <w:p w14:paraId="236465B8" w14:textId="2A0FBC80" w:rsidR="0016722B" w:rsidRDefault="0016722B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Serious Organised Crime</w:t>
            </w:r>
          </w:p>
        </w:tc>
      </w:tr>
      <w:tr w:rsidR="0016722B" w14:paraId="716E17A4" w14:textId="77777777" w:rsidTr="00E757F7">
        <w:tc>
          <w:tcPr>
            <w:tcW w:w="7366" w:type="dxa"/>
          </w:tcPr>
          <w:p w14:paraId="39A7B240" w14:textId="38BF3AA4" w:rsidR="0016722B" w:rsidRDefault="0016722B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Serious Violence Duty update</w:t>
            </w:r>
          </w:p>
        </w:tc>
      </w:tr>
      <w:tr w:rsidR="0016722B" w14:paraId="07C9C5F7" w14:textId="77777777" w:rsidTr="00E757F7">
        <w:tc>
          <w:tcPr>
            <w:tcW w:w="7366" w:type="dxa"/>
          </w:tcPr>
          <w:p w14:paraId="278DD8FA" w14:textId="1B396BA3" w:rsidR="0016722B" w:rsidRDefault="0016722B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Anti-Social Behaviour update</w:t>
            </w:r>
          </w:p>
        </w:tc>
      </w:tr>
      <w:tr w:rsidR="0016722B" w14:paraId="6D97FA80" w14:textId="77777777" w:rsidTr="00E757F7">
        <w:tc>
          <w:tcPr>
            <w:tcW w:w="7366" w:type="dxa"/>
          </w:tcPr>
          <w:p w14:paraId="62BC51B8" w14:textId="04E31FB0" w:rsidR="0016722B" w:rsidRDefault="0016722B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VAWDASV</w:t>
            </w:r>
          </w:p>
        </w:tc>
      </w:tr>
      <w:tr w:rsidR="0016722B" w14:paraId="7ECED662" w14:textId="77777777" w:rsidTr="00E757F7">
        <w:tc>
          <w:tcPr>
            <w:tcW w:w="7366" w:type="dxa"/>
          </w:tcPr>
          <w:p w14:paraId="7A71E799" w14:textId="4FDCC2B2" w:rsidR="0016722B" w:rsidRDefault="000D42ED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Finance</w:t>
            </w:r>
          </w:p>
        </w:tc>
      </w:tr>
      <w:tr w:rsidR="000D42ED" w14:paraId="4D0D8779" w14:textId="77777777" w:rsidTr="00E757F7">
        <w:tc>
          <w:tcPr>
            <w:tcW w:w="7366" w:type="dxa"/>
          </w:tcPr>
          <w:p w14:paraId="3D504FAD" w14:textId="7F143D27" w:rsidR="000D42ED" w:rsidRDefault="000D42ED" w:rsidP="0016722B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AOB</w:t>
            </w:r>
          </w:p>
        </w:tc>
      </w:tr>
    </w:tbl>
    <w:p w14:paraId="60036CE7" w14:textId="77777777" w:rsidR="0082383A" w:rsidRPr="00C33E40" w:rsidRDefault="0082383A" w:rsidP="0082383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2383A" w14:paraId="07FEC2CD" w14:textId="77777777" w:rsidTr="00E757F7">
        <w:tc>
          <w:tcPr>
            <w:tcW w:w="7366" w:type="dxa"/>
          </w:tcPr>
          <w:p w14:paraId="7E75CB22" w14:textId="77777777" w:rsidR="0082383A" w:rsidRPr="00580239" w:rsidRDefault="0082383A" w:rsidP="00E757F7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Mandatory attendees</w:t>
            </w:r>
          </w:p>
        </w:tc>
      </w:tr>
      <w:tr w:rsidR="0082383A" w14:paraId="08D6CD66" w14:textId="77777777" w:rsidTr="00E757F7">
        <w:tc>
          <w:tcPr>
            <w:tcW w:w="7366" w:type="dxa"/>
          </w:tcPr>
          <w:p w14:paraId="5383F83B" w14:textId="2963726B" w:rsidR="0082383A" w:rsidRDefault="00A07A6C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CSP Chair</w:t>
            </w:r>
            <w:r w:rsidR="000D42E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or Deputies – </w:t>
            </w:r>
            <w:r w:rsidR="000D42ED">
              <w:rPr>
                <w:rFonts w:ascii="Arial" w:hAnsi="Arial" w:cs="Arial"/>
                <w:sz w:val="22"/>
                <w:szCs w:val="22"/>
                <w:lang w:val="en-GB"/>
              </w:rPr>
              <w:t>one from each CSP</w:t>
            </w:r>
          </w:p>
        </w:tc>
      </w:tr>
      <w:tr w:rsidR="0082383A" w14:paraId="136C02D3" w14:textId="77777777" w:rsidTr="00E757F7">
        <w:tc>
          <w:tcPr>
            <w:tcW w:w="7366" w:type="dxa"/>
          </w:tcPr>
          <w:p w14:paraId="33926CFD" w14:textId="3CDCBEAB" w:rsidR="0082383A" w:rsidRPr="00DA7157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7157">
              <w:rPr>
                <w:rFonts w:ascii="Arial" w:hAnsi="Arial" w:cs="Arial"/>
                <w:sz w:val="22"/>
                <w:szCs w:val="22"/>
                <w:lang w:val="en-GB"/>
              </w:rPr>
              <w:t xml:space="preserve">Police – </w:t>
            </w:r>
            <w:r w:rsidR="000C6D98" w:rsidRPr="00DA7157">
              <w:rPr>
                <w:rFonts w:ascii="Arial" w:hAnsi="Arial" w:cs="Arial"/>
                <w:sz w:val="22"/>
                <w:szCs w:val="22"/>
                <w:lang w:val="en-GB"/>
              </w:rPr>
              <w:t>Assistant Chief Constable</w:t>
            </w:r>
          </w:p>
        </w:tc>
      </w:tr>
      <w:tr w:rsidR="002265F5" w14:paraId="18C13C4C" w14:textId="77777777" w:rsidTr="00E757F7">
        <w:tc>
          <w:tcPr>
            <w:tcW w:w="7366" w:type="dxa"/>
          </w:tcPr>
          <w:p w14:paraId="708AD2AD" w14:textId="1B754EC0" w:rsidR="002265F5" w:rsidRPr="00DA7157" w:rsidRDefault="002265F5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Local Authority – Director or Deputy Director</w:t>
            </w:r>
          </w:p>
        </w:tc>
      </w:tr>
      <w:tr w:rsidR="0082383A" w14:paraId="0AF81025" w14:textId="77777777" w:rsidTr="00E757F7">
        <w:tc>
          <w:tcPr>
            <w:tcW w:w="7366" w:type="dxa"/>
          </w:tcPr>
          <w:p w14:paraId="31B5151F" w14:textId="3120CCA8" w:rsidR="0082383A" w:rsidRPr="00DA7157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7157">
              <w:rPr>
                <w:rFonts w:ascii="Arial" w:hAnsi="Arial" w:cs="Arial"/>
                <w:sz w:val="22"/>
                <w:szCs w:val="22"/>
                <w:lang w:val="en-GB"/>
              </w:rPr>
              <w:t xml:space="preserve">Fire Service – </w:t>
            </w:r>
            <w:r w:rsidR="00390146" w:rsidRPr="00DA7157">
              <w:rPr>
                <w:rFonts w:ascii="Arial" w:hAnsi="Arial" w:cs="Arial"/>
                <w:sz w:val="22"/>
                <w:szCs w:val="22"/>
                <w:lang w:val="en-GB"/>
              </w:rPr>
              <w:t>Assistant Brigade Manager</w:t>
            </w:r>
          </w:p>
        </w:tc>
      </w:tr>
      <w:tr w:rsidR="0082383A" w14:paraId="5728D893" w14:textId="77777777" w:rsidTr="00E757F7">
        <w:tc>
          <w:tcPr>
            <w:tcW w:w="7366" w:type="dxa"/>
          </w:tcPr>
          <w:p w14:paraId="699012A9" w14:textId="7C95DD86" w:rsidR="0082383A" w:rsidRPr="00DA7157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7157">
              <w:rPr>
                <w:rFonts w:ascii="Arial" w:hAnsi="Arial" w:cs="Arial"/>
                <w:sz w:val="22"/>
                <w:szCs w:val="22"/>
                <w:lang w:val="en-GB"/>
              </w:rPr>
              <w:t xml:space="preserve">Probation Service – </w:t>
            </w:r>
            <w:r w:rsidR="000C5E05" w:rsidRPr="00DA7157">
              <w:rPr>
                <w:rFonts w:ascii="Arial" w:hAnsi="Arial" w:cs="Arial"/>
                <w:sz w:val="22"/>
                <w:szCs w:val="22"/>
                <w:lang w:val="en-GB"/>
              </w:rPr>
              <w:t>Regional Probation Director for Wales</w:t>
            </w:r>
          </w:p>
        </w:tc>
      </w:tr>
      <w:tr w:rsidR="0082383A" w14:paraId="663DC854" w14:textId="77777777" w:rsidTr="00E757F7">
        <w:tc>
          <w:tcPr>
            <w:tcW w:w="7366" w:type="dxa"/>
          </w:tcPr>
          <w:p w14:paraId="550970EB" w14:textId="3655DDF1" w:rsidR="0082383A" w:rsidRPr="00DA7157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7157">
              <w:rPr>
                <w:rFonts w:ascii="Arial" w:hAnsi="Arial" w:cs="Arial"/>
                <w:sz w:val="22"/>
                <w:szCs w:val="22"/>
                <w:lang w:val="en-GB"/>
              </w:rPr>
              <w:t xml:space="preserve">Health Board – </w:t>
            </w:r>
            <w:r w:rsidR="00585688" w:rsidRPr="00DA7157">
              <w:rPr>
                <w:rFonts w:ascii="Arial" w:hAnsi="Arial" w:cs="Arial"/>
                <w:sz w:val="22"/>
                <w:szCs w:val="22"/>
                <w:lang w:val="en-GB"/>
              </w:rPr>
              <w:t>Director of Strategy, Planning &amp; Partnerships</w:t>
            </w:r>
          </w:p>
        </w:tc>
      </w:tr>
      <w:tr w:rsidR="0082383A" w14:paraId="556169E2" w14:textId="77777777" w:rsidTr="00E757F7">
        <w:tc>
          <w:tcPr>
            <w:tcW w:w="7366" w:type="dxa"/>
          </w:tcPr>
          <w:p w14:paraId="6B3B1A00" w14:textId="6D1E7440" w:rsidR="00DA7157" w:rsidRPr="00DA7157" w:rsidRDefault="0082383A" w:rsidP="00E757F7">
            <w:pPr>
              <w:spacing w:after="0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Youth Justice Service – </w:t>
            </w:r>
            <w:r w:rsidR="00DA7157">
              <w:rPr>
                <w:rFonts w:ascii="Arial" w:hAnsi="Arial" w:cs="Arial"/>
                <w:sz w:val="22"/>
                <w:szCs w:val="22"/>
                <w:lang w:val="en-GB"/>
              </w:rPr>
              <w:t>TBC</w:t>
            </w:r>
          </w:p>
        </w:tc>
      </w:tr>
      <w:tr w:rsidR="0082383A" w14:paraId="38EBB1D7" w14:textId="77777777" w:rsidTr="00E757F7">
        <w:tc>
          <w:tcPr>
            <w:tcW w:w="7366" w:type="dxa"/>
          </w:tcPr>
          <w:p w14:paraId="1527F4EC" w14:textId="5CD9E519" w:rsidR="0082383A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Office of Police &amp; Crime Commissioner </w:t>
            </w:r>
            <w:r w:rsidR="0016722B">
              <w:rPr>
                <w:rFonts w:ascii="Arial" w:hAnsi="Arial" w:cs="Arial"/>
                <w:sz w:val="22"/>
                <w:szCs w:val="22"/>
                <w:lang w:val="en-GB"/>
              </w:rPr>
              <w:t xml:space="preserve">(OPCC)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– </w:t>
            </w:r>
            <w:r w:rsidR="00DA7157">
              <w:rPr>
                <w:rFonts w:ascii="Arial" w:hAnsi="Arial" w:cs="Arial"/>
                <w:sz w:val="22"/>
                <w:szCs w:val="22"/>
                <w:lang w:val="en-GB"/>
              </w:rPr>
              <w:t>TBC</w:t>
            </w:r>
          </w:p>
        </w:tc>
      </w:tr>
      <w:tr w:rsidR="0082383A" w14:paraId="6A981531" w14:textId="77777777" w:rsidTr="00E757F7">
        <w:tc>
          <w:tcPr>
            <w:tcW w:w="7366" w:type="dxa"/>
          </w:tcPr>
          <w:p w14:paraId="4512501C" w14:textId="5093396F" w:rsidR="0082383A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Third sector – </w:t>
            </w:r>
            <w:r w:rsidR="0052783C">
              <w:rPr>
                <w:rFonts w:ascii="Arial" w:hAnsi="Arial" w:cs="Arial"/>
                <w:sz w:val="22"/>
                <w:szCs w:val="22"/>
                <w:lang w:val="en-GB"/>
              </w:rPr>
              <w:t>Deputy Chief Executive or equivalent</w:t>
            </w:r>
          </w:p>
        </w:tc>
      </w:tr>
      <w:tr w:rsidR="0082383A" w14:paraId="16261E2F" w14:textId="77777777" w:rsidTr="00E757F7">
        <w:tc>
          <w:tcPr>
            <w:tcW w:w="7366" w:type="dxa"/>
          </w:tcPr>
          <w:p w14:paraId="6771DC87" w14:textId="77777777" w:rsidR="0082383A" w:rsidRDefault="0082383A" w:rsidP="00E757F7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3577D01" w14:textId="77777777" w:rsidR="002C274E" w:rsidRDefault="002C274E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57CC3B55" w14:textId="5287EA1B" w:rsidR="0082383A" w:rsidRDefault="00D745CB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CE1DE9">
        <w:rPr>
          <w:rFonts w:ascii="Arial" w:hAnsi="Arial" w:cs="Arial"/>
          <w:sz w:val="22"/>
          <w:szCs w:val="22"/>
          <w:lang w:val="en-GB"/>
        </w:rPr>
        <w:t xml:space="preserve">chairpersonship of the </w:t>
      </w:r>
      <w:r w:rsidR="007F34F0">
        <w:rPr>
          <w:rFonts w:ascii="Arial" w:hAnsi="Arial" w:cs="Arial"/>
          <w:sz w:val="22"/>
          <w:szCs w:val="22"/>
          <w:lang w:val="en-GB"/>
        </w:rPr>
        <w:t xml:space="preserve">newly established group </w:t>
      </w:r>
      <w:r w:rsidRPr="00CE1DE9">
        <w:rPr>
          <w:rFonts w:ascii="Arial" w:hAnsi="Arial" w:cs="Arial"/>
          <w:sz w:val="22"/>
          <w:szCs w:val="22"/>
          <w:lang w:val="en-GB"/>
        </w:rPr>
        <w:t>should be</w:t>
      </w:r>
      <w:r w:rsidR="002D567B" w:rsidRPr="00CE1DE9">
        <w:rPr>
          <w:rFonts w:ascii="Arial" w:hAnsi="Arial" w:cs="Arial"/>
          <w:sz w:val="22"/>
          <w:szCs w:val="22"/>
          <w:lang w:val="en-GB"/>
        </w:rPr>
        <w:t xml:space="preserve"> the Police and Crime Commissioner or their Deputy</w:t>
      </w:r>
      <w:r w:rsidR="00380FC6" w:rsidRPr="00CE1DE9">
        <w:rPr>
          <w:rFonts w:ascii="Arial" w:hAnsi="Arial" w:cs="Arial"/>
          <w:sz w:val="22"/>
          <w:szCs w:val="22"/>
          <w:lang w:val="en-GB"/>
        </w:rPr>
        <w:t>, given their unique ‘convening’ role, funding</w:t>
      </w:r>
      <w:r w:rsidR="00DE0902" w:rsidRPr="00CE1DE9">
        <w:rPr>
          <w:rFonts w:ascii="Arial" w:hAnsi="Arial" w:cs="Arial"/>
          <w:sz w:val="22"/>
          <w:szCs w:val="22"/>
          <w:lang w:val="en-GB"/>
        </w:rPr>
        <w:t xml:space="preserve"> and commissioning responsibilities, and likely </w:t>
      </w:r>
      <w:r w:rsidR="00F4757F" w:rsidRPr="00CE1DE9">
        <w:rPr>
          <w:rFonts w:ascii="Arial" w:hAnsi="Arial" w:cs="Arial"/>
          <w:sz w:val="22"/>
          <w:szCs w:val="22"/>
          <w:lang w:val="en-GB"/>
        </w:rPr>
        <w:t>increased community safety remit in the future</w:t>
      </w:r>
      <w:r w:rsidR="00CE1DE9" w:rsidRPr="00CE1DE9">
        <w:rPr>
          <w:rFonts w:ascii="Arial" w:hAnsi="Arial" w:cs="Arial"/>
          <w:sz w:val="22"/>
          <w:szCs w:val="22"/>
          <w:lang w:val="en-GB"/>
        </w:rPr>
        <w:t>.</w:t>
      </w:r>
    </w:p>
    <w:p w14:paraId="07F593FD" w14:textId="58DF5270" w:rsidR="002C274E" w:rsidRDefault="0052783C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CE1DE9">
        <w:rPr>
          <w:rFonts w:ascii="Arial" w:hAnsi="Arial" w:cs="Arial"/>
          <w:sz w:val="22"/>
          <w:szCs w:val="22"/>
          <w:lang w:val="en-GB"/>
        </w:rPr>
        <w:t>Th</w:t>
      </w:r>
      <w:r w:rsidR="007F34F0">
        <w:rPr>
          <w:rFonts w:ascii="Arial" w:hAnsi="Arial" w:cs="Arial"/>
          <w:sz w:val="22"/>
          <w:szCs w:val="22"/>
          <w:lang w:val="en-GB"/>
        </w:rPr>
        <w:t xml:space="preserve">is group </w:t>
      </w:r>
      <w:r w:rsidRPr="00CE1DE9">
        <w:rPr>
          <w:rFonts w:ascii="Arial" w:hAnsi="Arial" w:cs="Arial"/>
          <w:sz w:val="22"/>
          <w:szCs w:val="22"/>
          <w:lang w:val="en-GB"/>
        </w:rPr>
        <w:t xml:space="preserve">will replace </w:t>
      </w:r>
      <w:r w:rsidR="00EF6199" w:rsidRPr="00CE1DE9">
        <w:rPr>
          <w:rFonts w:ascii="Arial" w:hAnsi="Arial" w:cs="Arial"/>
          <w:sz w:val="22"/>
          <w:szCs w:val="22"/>
          <w:lang w:val="en-GB"/>
        </w:rPr>
        <w:t xml:space="preserve">the current </w:t>
      </w:r>
      <w:r w:rsidR="00EF6199" w:rsidRPr="00CE1DE9">
        <w:rPr>
          <w:rFonts w:ascii="Arial" w:hAnsi="Arial" w:cs="Arial"/>
          <w:i/>
          <w:iCs/>
          <w:sz w:val="22"/>
          <w:szCs w:val="22"/>
          <w:lang w:val="en-GB"/>
        </w:rPr>
        <w:t>Safer Gwent</w:t>
      </w:r>
      <w:r w:rsidR="00EF6199" w:rsidRPr="00CE1DE9">
        <w:rPr>
          <w:rFonts w:ascii="Arial" w:hAnsi="Arial" w:cs="Arial"/>
          <w:sz w:val="22"/>
          <w:szCs w:val="22"/>
          <w:lang w:val="en-GB"/>
        </w:rPr>
        <w:t xml:space="preserve"> group</w:t>
      </w:r>
      <w:r w:rsidR="00453EBF" w:rsidRPr="00CE1DE9">
        <w:rPr>
          <w:rFonts w:ascii="Arial" w:hAnsi="Arial" w:cs="Arial"/>
          <w:sz w:val="22"/>
          <w:szCs w:val="22"/>
          <w:lang w:val="en-GB"/>
        </w:rPr>
        <w:t xml:space="preserve"> and provide the PSB with the assurance that community safety </w:t>
      </w:r>
      <w:r w:rsidR="008549D4" w:rsidRPr="00CE1DE9">
        <w:rPr>
          <w:rFonts w:ascii="Arial" w:hAnsi="Arial" w:cs="Arial"/>
          <w:sz w:val="22"/>
          <w:szCs w:val="22"/>
          <w:lang w:val="en-GB"/>
        </w:rPr>
        <w:t xml:space="preserve">activity across Gwent is being </w:t>
      </w:r>
      <w:r w:rsidR="00E80629" w:rsidRPr="00CE1DE9">
        <w:rPr>
          <w:rFonts w:ascii="Arial" w:hAnsi="Arial" w:cs="Arial"/>
          <w:sz w:val="22"/>
          <w:szCs w:val="22"/>
          <w:lang w:val="en-GB"/>
        </w:rPr>
        <w:t>dealt with appropriately</w:t>
      </w:r>
      <w:r w:rsidR="00EF6199" w:rsidRPr="00CE1DE9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C351C6F" w14:textId="77777777" w:rsidR="00DA7157" w:rsidRDefault="00DA7157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56E60A07" w14:textId="59F2AFDC" w:rsidR="00DA7157" w:rsidRPr="00CE1DE9" w:rsidRDefault="00DA7157" w:rsidP="00DA715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A7157">
        <w:rPr>
          <w:rFonts w:ascii="Arial" w:hAnsi="Arial" w:cs="Arial"/>
          <w:b/>
          <w:bCs/>
          <w:sz w:val="22"/>
          <w:szCs w:val="22"/>
          <w:lang w:val="en-GB"/>
        </w:rPr>
        <w:t xml:space="preserve">A future paper will </w:t>
      </w:r>
      <w:r>
        <w:rPr>
          <w:rFonts w:ascii="Arial" w:hAnsi="Arial" w:cs="Arial"/>
          <w:b/>
          <w:bCs/>
          <w:sz w:val="22"/>
          <w:szCs w:val="22"/>
          <w:lang w:val="en-GB"/>
        </w:rPr>
        <w:t>review</w:t>
      </w:r>
      <w:r w:rsidRPr="00DA7157">
        <w:rPr>
          <w:rFonts w:ascii="Arial" w:hAnsi="Arial" w:cs="Arial"/>
          <w:b/>
          <w:bCs/>
          <w:sz w:val="22"/>
          <w:szCs w:val="22"/>
          <w:lang w:val="en-GB"/>
        </w:rPr>
        <w:t xml:space="preserve"> the principles and framework for each CSP; this will be submitted by th</w:t>
      </w:r>
      <w:r>
        <w:rPr>
          <w:rFonts w:ascii="Arial" w:hAnsi="Arial" w:cs="Arial"/>
          <w:b/>
          <w:bCs/>
          <w:sz w:val="22"/>
          <w:szCs w:val="22"/>
          <w:lang w:val="en-GB"/>
        </w:rPr>
        <w:t>is</w:t>
      </w:r>
      <w:r w:rsidRPr="00DA7157">
        <w:rPr>
          <w:rFonts w:ascii="Arial" w:hAnsi="Arial" w:cs="Arial"/>
          <w:b/>
          <w:bCs/>
          <w:sz w:val="22"/>
          <w:szCs w:val="22"/>
          <w:lang w:val="en-GB"/>
        </w:rPr>
        <w:t xml:space="preserve"> CSP oversight group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, if agreed. </w:t>
      </w:r>
    </w:p>
    <w:p w14:paraId="3877CEE8" w14:textId="77777777" w:rsidR="002C274E" w:rsidRDefault="002C274E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0816FA0E" w14:textId="7F167CB3" w:rsidR="0052783C" w:rsidRDefault="0052783C" w:rsidP="0052783C">
      <w:pPr>
        <w:spacing w:after="0"/>
        <w:rPr>
          <w:rFonts w:ascii="Arial" w:hAnsi="Arial" w:cs="Arial"/>
          <w:b/>
          <w:bCs/>
          <w:sz w:val="22"/>
          <w:szCs w:val="22"/>
          <w:lang w:val="en-GB"/>
        </w:rPr>
      </w:pPr>
      <w:r w:rsidRPr="00BB15B8">
        <w:rPr>
          <w:rFonts w:ascii="Arial" w:hAnsi="Arial" w:cs="Arial"/>
          <w:b/>
          <w:bCs/>
          <w:sz w:val="22"/>
          <w:szCs w:val="22"/>
          <w:lang w:val="en-GB"/>
        </w:rPr>
        <w:t xml:space="preserve">RECOMMENDATION </w:t>
      </w:r>
      <w:r w:rsidR="00EC43A3">
        <w:rPr>
          <w:rFonts w:ascii="Arial" w:hAnsi="Arial" w:cs="Arial"/>
          <w:b/>
          <w:bCs/>
          <w:sz w:val="22"/>
          <w:szCs w:val="22"/>
          <w:lang w:val="en-GB"/>
        </w:rPr>
        <w:t xml:space="preserve">ONE </w:t>
      </w:r>
      <w:r w:rsidRPr="00BB15B8">
        <w:rPr>
          <w:rFonts w:ascii="Arial" w:hAnsi="Arial" w:cs="Arial"/>
          <w:b/>
          <w:bCs/>
          <w:sz w:val="22"/>
          <w:szCs w:val="22"/>
          <w:lang w:val="en-GB"/>
        </w:rPr>
        <w:t>–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493A4D">
        <w:rPr>
          <w:rFonts w:ascii="Arial" w:hAnsi="Arial" w:cs="Arial"/>
          <w:sz w:val="22"/>
          <w:szCs w:val="22"/>
          <w:lang w:val="en-GB"/>
        </w:rPr>
        <w:t xml:space="preserve">that </w:t>
      </w:r>
      <w:r>
        <w:rPr>
          <w:rFonts w:ascii="Arial" w:hAnsi="Arial" w:cs="Arial"/>
          <w:sz w:val="22"/>
          <w:szCs w:val="22"/>
          <w:lang w:val="en-GB"/>
        </w:rPr>
        <w:t xml:space="preserve">a new Community Safety </w:t>
      </w:r>
      <w:r w:rsidR="004D7E43">
        <w:rPr>
          <w:rFonts w:ascii="Arial" w:hAnsi="Arial" w:cs="Arial"/>
          <w:sz w:val="22"/>
          <w:szCs w:val="22"/>
          <w:lang w:val="en-GB"/>
        </w:rPr>
        <w:t>strategic partnership g</w:t>
      </w:r>
      <w:r>
        <w:rPr>
          <w:rFonts w:ascii="Arial" w:hAnsi="Arial" w:cs="Arial"/>
          <w:sz w:val="22"/>
          <w:szCs w:val="22"/>
          <w:lang w:val="en-GB"/>
        </w:rPr>
        <w:t xml:space="preserve">roup is established </w:t>
      </w:r>
      <w:r w:rsidR="00305331">
        <w:rPr>
          <w:rFonts w:ascii="Arial" w:hAnsi="Arial" w:cs="Arial"/>
          <w:sz w:val="22"/>
          <w:szCs w:val="22"/>
          <w:lang w:val="en-GB"/>
        </w:rPr>
        <w:t xml:space="preserve">with the </w:t>
      </w:r>
      <w:r>
        <w:rPr>
          <w:rFonts w:ascii="Arial" w:hAnsi="Arial" w:cs="Arial"/>
          <w:sz w:val="22"/>
          <w:szCs w:val="22"/>
          <w:lang w:val="en-GB"/>
        </w:rPr>
        <w:t xml:space="preserve">proposed structure and proposed attendees. </w:t>
      </w:r>
      <w:r w:rsidR="00DD30CB">
        <w:rPr>
          <w:rFonts w:ascii="Arial" w:hAnsi="Arial" w:cs="Arial"/>
          <w:sz w:val="22"/>
          <w:szCs w:val="22"/>
          <w:lang w:val="en-GB"/>
        </w:rPr>
        <w:t xml:space="preserve">The chairpersonship of this group should be a senior member of the OPCC. </w:t>
      </w:r>
    </w:p>
    <w:p w14:paraId="618834F0" w14:textId="77777777" w:rsidR="0052783C" w:rsidRDefault="0052783C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604917CC" w14:textId="00500058" w:rsidR="002C274E" w:rsidRDefault="002C274E" w:rsidP="0082172F">
      <w:pPr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Limitations</w:t>
      </w:r>
    </w:p>
    <w:p w14:paraId="6EFB7FC1" w14:textId="77777777" w:rsidR="00D902FF" w:rsidRDefault="00D902FF" w:rsidP="0082172F">
      <w:pPr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D05B1D3" w14:textId="77777777" w:rsidR="007B7A63" w:rsidRDefault="002C274E" w:rsidP="0082172F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</w:t>
      </w:r>
      <w:r w:rsidR="005D6ED1">
        <w:rPr>
          <w:rFonts w:ascii="Arial" w:hAnsi="Arial" w:cs="Arial"/>
          <w:sz w:val="22"/>
          <w:szCs w:val="22"/>
          <w:lang w:val="en-GB"/>
        </w:rPr>
        <w:t xml:space="preserve">ne of the recommendations within this paper </w:t>
      </w:r>
      <w:r w:rsidR="007B7A63">
        <w:rPr>
          <w:rFonts w:ascii="Arial" w:hAnsi="Arial" w:cs="Arial"/>
          <w:sz w:val="22"/>
          <w:szCs w:val="22"/>
          <w:lang w:val="en-GB"/>
        </w:rPr>
        <w:t xml:space="preserve">attempt to or infer any </w:t>
      </w:r>
      <w:r w:rsidR="005D6ED1">
        <w:rPr>
          <w:rFonts w:ascii="Arial" w:hAnsi="Arial" w:cs="Arial"/>
          <w:sz w:val="22"/>
          <w:szCs w:val="22"/>
          <w:lang w:val="en-GB"/>
        </w:rPr>
        <w:t>circumvent</w:t>
      </w:r>
      <w:r w:rsidR="007B7A63">
        <w:rPr>
          <w:rFonts w:ascii="Arial" w:hAnsi="Arial" w:cs="Arial"/>
          <w:sz w:val="22"/>
          <w:szCs w:val="22"/>
          <w:lang w:val="en-GB"/>
        </w:rPr>
        <w:t>ion</w:t>
      </w:r>
      <w:r w:rsidR="005D6ED1">
        <w:rPr>
          <w:rFonts w:ascii="Arial" w:hAnsi="Arial" w:cs="Arial"/>
          <w:sz w:val="22"/>
          <w:szCs w:val="22"/>
          <w:lang w:val="en-GB"/>
        </w:rPr>
        <w:t xml:space="preserve"> </w:t>
      </w:r>
      <w:r w:rsidR="007B7A63">
        <w:rPr>
          <w:rFonts w:ascii="Arial" w:hAnsi="Arial" w:cs="Arial"/>
          <w:sz w:val="22"/>
          <w:szCs w:val="22"/>
          <w:lang w:val="en-GB"/>
        </w:rPr>
        <w:t>of</w:t>
      </w:r>
      <w:r w:rsidR="005D6ED1">
        <w:rPr>
          <w:rFonts w:ascii="Arial" w:hAnsi="Arial" w:cs="Arial"/>
          <w:sz w:val="22"/>
          <w:szCs w:val="22"/>
          <w:lang w:val="en-GB"/>
        </w:rPr>
        <w:t xml:space="preserve"> existing governance structures of CSPs </w:t>
      </w:r>
      <w:r w:rsidR="0025791A">
        <w:rPr>
          <w:rFonts w:ascii="Arial" w:hAnsi="Arial" w:cs="Arial"/>
          <w:sz w:val="22"/>
          <w:szCs w:val="22"/>
          <w:lang w:val="en-GB"/>
        </w:rPr>
        <w:t xml:space="preserve">in terms of accountability to Local Authorities. </w:t>
      </w:r>
    </w:p>
    <w:p w14:paraId="536F7F96" w14:textId="77777777" w:rsidR="007B7A63" w:rsidRDefault="007B7A63" w:rsidP="0082172F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19E1FFC5" w14:textId="1BC2B2CE" w:rsidR="002C274E" w:rsidRDefault="007B7A63" w:rsidP="0082172F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RECOMMENDATION </w:t>
      </w:r>
      <w:r w:rsidR="00EC43A3">
        <w:rPr>
          <w:rFonts w:ascii="Arial" w:hAnsi="Arial" w:cs="Arial"/>
          <w:b/>
          <w:bCs/>
          <w:sz w:val="22"/>
          <w:szCs w:val="22"/>
          <w:lang w:val="en-GB"/>
        </w:rPr>
        <w:t>TWO</w:t>
      </w:r>
      <w:r w:rsidR="00EE35F8"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25791A">
        <w:rPr>
          <w:rFonts w:ascii="Arial" w:hAnsi="Arial" w:cs="Arial"/>
          <w:sz w:val="22"/>
          <w:szCs w:val="22"/>
          <w:lang w:val="en-GB"/>
        </w:rPr>
        <w:t xml:space="preserve">Local Authorities should </w:t>
      </w:r>
      <w:r w:rsidR="00576F09">
        <w:rPr>
          <w:rFonts w:ascii="Arial" w:hAnsi="Arial" w:cs="Arial"/>
          <w:sz w:val="22"/>
          <w:szCs w:val="22"/>
          <w:lang w:val="en-GB"/>
        </w:rPr>
        <w:t xml:space="preserve">work with the Community Safety </w:t>
      </w:r>
      <w:r w:rsidR="00482355">
        <w:rPr>
          <w:rFonts w:ascii="Arial" w:hAnsi="Arial" w:cs="Arial"/>
          <w:sz w:val="22"/>
          <w:szCs w:val="22"/>
          <w:lang w:val="en-GB"/>
        </w:rPr>
        <w:t>strategic partnership group</w:t>
      </w:r>
      <w:r w:rsidR="00EE35F8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EE35F8">
        <w:rPr>
          <w:rFonts w:ascii="Arial" w:hAnsi="Arial" w:cs="Arial"/>
          <w:sz w:val="22"/>
          <w:szCs w:val="22"/>
          <w:lang w:val="en-GB"/>
        </w:rPr>
        <w:t>in order to</w:t>
      </w:r>
      <w:proofErr w:type="gramEnd"/>
      <w:r w:rsidR="00EE35F8">
        <w:rPr>
          <w:rFonts w:ascii="Arial" w:hAnsi="Arial" w:cs="Arial"/>
          <w:sz w:val="22"/>
          <w:szCs w:val="22"/>
          <w:lang w:val="en-GB"/>
        </w:rPr>
        <w:t xml:space="preserve"> try and create synergy between the way in which reporting </w:t>
      </w:r>
      <w:r w:rsidR="00C44A73">
        <w:rPr>
          <w:rFonts w:ascii="Arial" w:hAnsi="Arial" w:cs="Arial"/>
          <w:sz w:val="22"/>
          <w:szCs w:val="22"/>
          <w:lang w:val="en-GB"/>
        </w:rPr>
        <w:t xml:space="preserve">takes place in order to limit bureaucracy but to ensure </w:t>
      </w:r>
      <w:r w:rsidR="004C1BCE">
        <w:rPr>
          <w:rFonts w:ascii="Arial" w:hAnsi="Arial" w:cs="Arial"/>
          <w:sz w:val="22"/>
          <w:szCs w:val="22"/>
          <w:lang w:val="en-GB"/>
        </w:rPr>
        <w:t>this new group</w:t>
      </w:r>
      <w:r w:rsidR="00C44A73">
        <w:rPr>
          <w:rFonts w:ascii="Arial" w:hAnsi="Arial" w:cs="Arial"/>
          <w:sz w:val="22"/>
          <w:szCs w:val="22"/>
          <w:lang w:val="en-GB"/>
        </w:rPr>
        <w:t xml:space="preserve"> and Local Authorities are reassured as to their statutory responsibilities and the effective, efficient running of each CSP. </w:t>
      </w:r>
    </w:p>
    <w:p w14:paraId="69D8BB06" w14:textId="77777777" w:rsidR="004E3069" w:rsidRDefault="004E3069" w:rsidP="0082172F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2EECD965" w14:textId="77777777" w:rsidR="002C274E" w:rsidRDefault="002C274E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182B083C" w14:textId="33A102AB" w:rsidR="00144BB2" w:rsidRPr="00CE1DE9" w:rsidRDefault="00144BB2" w:rsidP="00144BB2">
      <w:pPr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CE1DE9">
        <w:rPr>
          <w:rFonts w:ascii="Arial" w:hAnsi="Arial" w:cs="Arial"/>
          <w:b/>
          <w:bCs/>
          <w:sz w:val="22"/>
          <w:szCs w:val="22"/>
          <w:u w:val="single"/>
          <w:lang w:val="en-GB"/>
        </w:rPr>
        <w:t>Interaction with other Gwent-wide Governance</w:t>
      </w:r>
    </w:p>
    <w:p w14:paraId="45E7B3F2" w14:textId="77777777" w:rsidR="00144BB2" w:rsidRPr="00CE1DE9" w:rsidRDefault="00144BB2" w:rsidP="00144BB2">
      <w:pPr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4EF360F" w14:textId="72A089C1" w:rsidR="00144BB2" w:rsidRPr="00CE1DE9" w:rsidRDefault="00144BB2" w:rsidP="00144BB2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CE1DE9">
        <w:rPr>
          <w:rFonts w:ascii="Arial" w:hAnsi="Arial" w:cs="Arial"/>
          <w:sz w:val="22"/>
          <w:szCs w:val="22"/>
          <w:lang w:val="en-GB"/>
        </w:rPr>
        <w:t xml:space="preserve">The introduction </w:t>
      </w:r>
      <w:r w:rsidR="00DB13A0" w:rsidRPr="00CE1DE9">
        <w:rPr>
          <w:rFonts w:ascii="Arial" w:hAnsi="Arial" w:cs="Arial"/>
          <w:sz w:val="22"/>
          <w:szCs w:val="22"/>
          <w:lang w:val="en-GB"/>
        </w:rPr>
        <w:t xml:space="preserve">of a new Gwent-wide Community Safety governance structure does not remove </w:t>
      </w:r>
      <w:r w:rsidR="00077499" w:rsidRPr="00CE1DE9">
        <w:rPr>
          <w:rFonts w:ascii="Arial" w:hAnsi="Arial" w:cs="Arial"/>
          <w:sz w:val="22"/>
          <w:szCs w:val="22"/>
          <w:lang w:val="en-GB"/>
        </w:rPr>
        <w:t xml:space="preserve">all </w:t>
      </w:r>
      <w:r w:rsidR="00DB13A0" w:rsidRPr="00CE1DE9">
        <w:rPr>
          <w:rFonts w:ascii="Arial" w:hAnsi="Arial" w:cs="Arial"/>
          <w:sz w:val="22"/>
          <w:szCs w:val="22"/>
          <w:lang w:val="en-GB"/>
        </w:rPr>
        <w:t xml:space="preserve">the current challenges </w:t>
      </w:r>
      <w:r w:rsidR="00077499" w:rsidRPr="00CE1DE9">
        <w:rPr>
          <w:rFonts w:ascii="Arial" w:hAnsi="Arial" w:cs="Arial"/>
          <w:sz w:val="22"/>
          <w:szCs w:val="22"/>
          <w:lang w:val="en-GB"/>
        </w:rPr>
        <w:t>faced by CSPs and other</w:t>
      </w:r>
      <w:r w:rsidR="00DB13A0" w:rsidRPr="00CE1DE9">
        <w:rPr>
          <w:rFonts w:ascii="Arial" w:hAnsi="Arial" w:cs="Arial"/>
          <w:sz w:val="22"/>
          <w:szCs w:val="22"/>
          <w:lang w:val="en-GB"/>
        </w:rPr>
        <w:t xml:space="preserve"> regional governance structures, namely significant </w:t>
      </w:r>
      <w:r w:rsidR="0028019E" w:rsidRPr="00CE1DE9">
        <w:rPr>
          <w:rFonts w:ascii="Arial" w:hAnsi="Arial" w:cs="Arial"/>
          <w:sz w:val="22"/>
          <w:szCs w:val="22"/>
          <w:lang w:val="en-GB"/>
        </w:rPr>
        <w:t xml:space="preserve">inefficiency through </w:t>
      </w:r>
      <w:r w:rsidR="00DB13A0" w:rsidRPr="00CE1DE9">
        <w:rPr>
          <w:rFonts w:ascii="Arial" w:hAnsi="Arial" w:cs="Arial"/>
          <w:sz w:val="22"/>
          <w:szCs w:val="22"/>
          <w:lang w:val="en-GB"/>
        </w:rPr>
        <w:t xml:space="preserve">duplication </w:t>
      </w:r>
      <w:r w:rsidR="00C1012B" w:rsidRPr="00CE1DE9">
        <w:rPr>
          <w:rFonts w:ascii="Arial" w:hAnsi="Arial" w:cs="Arial"/>
          <w:sz w:val="22"/>
          <w:szCs w:val="22"/>
          <w:lang w:val="en-GB"/>
        </w:rPr>
        <w:t xml:space="preserve">of activity, </w:t>
      </w:r>
      <w:r w:rsidR="0028019E" w:rsidRPr="00CE1DE9">
        <w:rPr>
          <w:rFonts w:ascii="Arial" w:hAnsi="Arial" w:cs="Arial"/>
          <w:sz w:val="22"/>
          <w:szCs w:val="22"/>
          <w:lang w:val="en-GB"/>
        </w:rPr>
        <w:t xml:space="preserve">funding models, </w:t>
      </w:r>
      <w:r w:rsidR="00C1012B" w:rsidRPr="00CE1DE9">
        <w:rPr>
          <w:rFonts w:ascii="Arial" w:hAnsi="Arial" w:cs="Arial"/>
          <w:sz w:val="22"/>
          <w:szCs w:val="22"/>
          <w:lang w:val="en-GB"/>
        </w:rPr>
        <w:t xml:space="preserve">meetings, objectives, and nowhere to escalate </w:t>
      </w:r>
      <w:r w:rsidR="009743C8" w:rsidRPr="00CE1DE9">
        <w:rPr>
          <w:rFonts w:ascii="Arial" w:hAnsi="Arial" w:cs="Arial"/>
          <w:sz w:val="22"/>
          <w:szCs w:val="22"/>
          <w:lang w:val="en-GB"/>
        </w:rPr>
        <w:t>issues that cannot be resolved</w:t>
      </w:r>
      <w:r w:rsidR="00AF2614" w:rsidRPr="00CE1DE9">
        <w:rPr>
          <w:rFonts w:ascii="Arial" w:hAnsi="Arial" w:cs="Arial"/>
          <w:sz w:val="22"/>
          <w:szCs w:val="22"/>
          <w:lang w:val="en-GB"/>
        </w:rPr>
        <w:t xml:space="preserve"> by individual boards</w:t>
      </w:r>
      <w:r w:rsidR="009743C8" w:rsidRPr="00CE1DE9">
        <w:rPr>
          <w:rFonts w:ascii="Arial" w:hAnsi="Arial" w:cs="Arial"/>
          <w:sz w:val="22"/>
          <w:szCs w:val="22"/>
          <w:lang w:val="en-GB"/>
        </w:rPr>
        <w:t xml:space="preserve">. </w:t>
      </w:r>
      <w:r w:rsidR="00C1012B" w:rsidRPr="00CE1DE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7F9D3E9" w14:textId="77777777" w:rsidR="00144BB2" w:rsidRPr="00CE1DE9" w:rsidRDefault="00144BB2" w:rsidP="00144BB2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387B6991" w14:textId="77777777" w:rsidR="009A6899" w:rsidRDefault="00144BB2" w:rsidP="00144BB2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CE1DE9">
        <w:rPr>
          <w:rFonts w:ascii="Arial" w:hAnsi="Arial" w:cs="Arial"/>
          <w:b/>
          <w:bCs/>
          <w:sz w:val="22"/>
          <w:szCs w:val="22"/>
          <w:lang w:val="en-GB"/>
        </w:rPr>
        <w:t xml:space="preserve">RECOMMENDATION </w:t>
      </w:r>
      <w:r w:rsidR="00EC43A3">
        <w:rPr>
          <w:rFonts w:ascii="Arial" w:hAnsi="Arial" w:cs="Arial"/>
          <w:b/>
          <w:bCs/>
          <w:sz w:val="22"/>
          <w:szCs w:val="22"/>
          <w:lang w:val="en-GB"/>
        </w:rPr>
        <w:t>THREE</w:t>
      </w:r>
      <w:r w:rsidRPr="00CE1DE9">
        <w:rPr>
          <w:rFonts w:ascii="Arial" w:hAnsi="Arial" w:cs="Arial"/>
          <w:b/>
          <w:bCs/>
          <w:sz w:val="22"/>
          <w:szCs w:val="22"/>
          <w:lang w:val="en-GB"/>
        </w:rPr>
        <w:t xml:space="preserve"> –</w:t>
      </w:r>
      <w:r w:rsidR="009743C8" w:rsidRPr="00CE1DE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743C8" w:rsidRPr="00CE1DE9">
        <w:rPr>
          <w:rFonts w:ascii="Arial" w:hAnsi="Arial" w:cs="Arial"/>
          <w:sz w:val="22"/>
          <w:szCs w:val="22"/>
          <w:lang w:val="en-GB"/>
        </w:rPr>
        <w:t>O</w:t>
      </w:r>
      <w:r w:rsidR="00D72B91" w:rsidRPr="00CE1DE9">
        <w:rPr>
          <w:rFonts w:ascii="Arial" w:hAnsi="Arial" w:cs="Arial"/>
          <w:sz w:val="22"/>
          <w:szCs w:val="22"/>
          <w:lang w:val="en-GB"/>
        </w:rPr>
        <w:t>n behalf of the PSB, o</w:t>
      </w:r>
      <w:r w:rsidR="009743C8" w:rsidRPr="00CE1DE9">
        <w:rPr>
          <w:rFonts w:ascii="Arial" w:hAnsi="Arial" w:cs="Arial"/>
          <w:sz w:val="22"/>
          <w:szCs w:val="22"/>
          <w:lang w:val="en-GB"/>
        </w:rPr>
        <w:t>ne of the first objectives of the new regional CS str</w:t>
      </w:r>
      <w:r w:rsidR="00C97026" w:rsidRPr="00CE1DE9">
        <w:rPr>
          <w:rFonts w:ascii="Arial" w:hAnsi="Arial" w:cs="Arial"/>
          <w:sz w:val="22"/>
          <w:szCs w:val="22"/>
          <w:lang w:val="en-GB"/>
        </w:rPr>
        <w:t xml:space="preserve">ucture will be to establish the appropriate synergies between </w:t>
      </w:r>
      <w:r w:rsidR="000755DC" w:rsidRPr="00CE1DE9">
        <w:rPr>
          <w:rFonts w:ascii="Arial" w:hAnsi="Arial" w:cs="Arial"/>
          <w:sz w:val="22"/>
          <w:szCs w:val="22"/>
          <w:lang w:val="en-GB"/>
        </w:rPr>
        <w:t xml:space="preserve">itself and </w:t>
      </w:r>
      <w:r w:rsidR="00C97026" w:rsidRPr="00CE1DE9">
        <w:rPr>
          <w:rFonts w:ascii="Arial" w:hAnsi="Arial" w:cs="Arial"/>
          <w:sz w:val="22"/>
          <w:szCs w:val="22"/>
          <w:lang w:val="en-GB"/>
        </w:rPr>
        <w:t xml:space="preserve">other regional structures, such as the </w:t>
      </w:r>
      <w:r w:rsidR="000370B8" w:rsidRPr="00CE1DE9">
        <w:rPr>
          <w:rFonts w:ascii="Arial" w:hAnsi="Arial" w:cs="Arial"/>
          <w:sz w:val="22"/>
          <w:szCs w:val="22"/>
          <w:lang w:val="en-GB"/>
        </w:rPr>
        <w:t>VAWDASV Board, Are</w:t>
      </w:r>
      <w:r w:rsidR="00AF2614" w:rsidRPr="00CE1DE9">
        <w:rPr>
          <w:rFonts w:ascii="Arial" w:hAnsi="Arial" w:cs="Arial"/>
          <w:sz w:val="22"/>
          <w:szCs w:val="22"/>
          <w:lang w:val="en-GB"/>
        </w:rPr>
        <w:t>a</w:t>
      </w:r>
      <w:r w:rsidR="000370B8" w:rsidRPr="00CE1DE9">
        <w:rPr>
          <w:rFonts w:ascii="Arial" w:hAnsi="Arial" w:cs="Arial"/>
          <w:sz w:val="22"/>
          <w:szCs w:val="22"/>
          <w:lang w:val="en-GB"/>
        </w:rPr>
        <w:t xml:space="preserve"> Planning Board for substance misuse, Safeguarding Board, and Local Criminal Justice Board. There is a real opportunity to reduce the current </w:t>
      </w:r>
      <w:r w:rsidR="00297030" w:rsidRPr="00CE1DE9">
        <w:rPr>
          <w:rFonts w:ascii="Arial" w:hAnsi="Arial" w:cs="Arial"/>
          <w:sz w:val="22"/>
          <w:szCs w:val="22"/>
          <w:lang w:val="en-GB"/>
        </w:rPr>
        <w:t xml:space="preserve">duplication and cross-over of efforts between these </w:t>
      </w:r>
      <w:r w:rsidR="00250660" w:rsidRPr="00CE1DE9">
        <w:rPr>
          <w:rFonts w:ascii="Arial" w:hAnsi="Arial" w:cs="Arial"/>
          <w:sz w:val="22"/>
          <w:szCs w:val="22"/>
          <w:lang w:val="en-GB"/>
        </w:rPr>
        <w:t>structures</w:t>
      </w:r>
      <w:r w:rsidR="00DB394C" w:rsidRPr="00CE1DE9">
        <w:rPr>
          <w:rFonts w:ascii="Arial" w:hAnsi="Arial" w:cs="Arial"/>
          <w:sz w:val="22"/>
          <w:szCs w:val="22"/>
          <w:lang w:val="en-GB"/>
        </w:rPr>
        <w:t>, harmonise work programmes, and</w:t>
      </w:r>
      <w:r w:rsidR="000755DC" w:rsidRPr="00CE1DE9">
        <w:rPr>
          <w:rFonts w:ascii="Arial" w:hAnsi="Arial" w:cs="Arial"/>
          <w:sz w:val="22"/>
          <w:szCs w:val="22"/>
          <w:lang w:val="en-GB"/>
        </w:rPr>
        <w:t xml:space="preserve"> </w:t>
      </w:r>
      <w:r w:rsidR="00583F23" w:rsidRPr="00CE1DE9">
        <w:rPr>
          <w:rFonts w:ascii="Arial" w:hAnsi="Arial" w:cs="Arial"/>
          <w:sz w:val="22"/>
          <w:szCs w:val="22"/>
          <w:lang w:val="en-GB"/>
        </w:rPr>
        <w:t>agree decision and escalation lines.</w:t>
      </w:r>
      <w:r w:rsidR="00DB394C" w:rsidRPr="00CE1DE9">
        <w:rPr>
          <w:rFonts w:ascii="Arial" w:hAnsi="Arial" w:cs="Arial"/>
          <w:sz w:val="22"/>
          <w:szCs w:val="22"/>
          <w:lang w:val="en-GB"/>
        </w:rPr>
        <w:t xml:space="preserve"> </w:t>
      </w:r>
      <w:r w:rsidR="00D31590" w:rsidRPr="00CE1DE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31BC541" w14:textId="77777777" w:rsidR="009A6899" w:rsidRDefault="009A6899" w:rsidP="00144BB2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14:paraId="6661F28D" w14:textId="747F1A35" w:rsidR="00F4757F" w:rsidRPr="009A6899" w:rsidRDefault="00F4757F" w:rsidP="06C889FA">
      <w:pPr>
        <w:spacing w:after="0"/>
        <w:rPr>
          <w:rFonts w:ascii="Arial" w:hAnsi="Arial" w:cs="Arial"/>
          <w:sz w:val="22"/>
          <w:szCs w:val="22"/>
          <w:lang w:val="en-GB"/>
        </w:rPr>
      </w:pPr>
    </w:p>
    <w:sectPr w:rsidR="00F4757F" w:rsidRPr="009A6899" w:rsidSect="0070117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B35F" w14:textId="77777777" w:rsidR="00E06C23" w:rsidRDefault="00E06C23" w:rsidP="0011114F">
      <w:pPr>
        <w:spacing w:after="0"/>
      </w:pPr>
      <w:r>
        <w:separator/>
      </w:r>
    </w:p>
  </w:endnote>
  <w:endnote w:type="continuationSeparator" w:id="0">
    <w:p w14:paraId="458E0E81" w14:textId="77777777" w:rsidR="00E06C23" w:rsidRDefault="00E06C23" w:rsidP="001111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86494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50FB0" w14:textId="6B610F25" w:rsidR="0070117C" w:rsidRPr="0070117C" w:rsidRDefault="0070117C" w:rsidP="0070117C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70117C">
          <w:rPr>
            <w:rFonts w:ascii="Arial" w:hAnsi="Arial" w:cs="Arial"/>
            <w:sz w:val="22"/>
            <w:szCs w:val="22"/>
          </w:rPr>
          <w:t xml:space="preserve">Page | </w:t>
        </w:r>
        <w:r w:rsidRPr="0070117C">
          <w:rPr>
            <w:rFonts w:ascii="Arial" w:hAnsi="Arial" w:cs="Arial"/>
            <w:sz w:val="22"/>
            <w:szCs w:val="22"/>
          </w:rPr>
          <w:fldChar w:fldCharType="begin"/>
        </w:r>
        <w:r w:rsidRPr="0070117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0117C">
          <w:rPr>
            <w:rFonts w:ascii="Arial" w:hAnsi="Arial" w:cs="Arial"/>
            <w:sz w:val="22"/>
            <w:szCs w:val="22"/>
          </w:rPr>
          <w:fldChar w:fldCharType="separate"/>
        </w:r>
        <w:r w:rsidRPr="0070117C">
          <w:rPr>
            <w:rFonts w:ascii="Arial" w:hAnsi="Arial" w:cs="Arial"/>
            <w:noProof/>
            <w:sz w:val="22"/>
            <w:szCs w:val="22"/>
          </w:rPr>
          <w:t>2</w:t>
        </w:r>
        <w:r w:rsidRPr="0070117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7F161AD" w14:textId="77777777" w:rsidR="0070117C" w:rsidRPr="0070117C" w:rsidRDefault="0070117C" w:rsidP="0070117C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0B32" w14:textId="77777777" w:rsidR="00E06C23" w:rsidRDefault="00E06C23" w:rsidP="0011114F">
      <w:pPr>
        <w:spacing w:after="0"/>
      </w:pPr>
      <w:r>
        <w:separator/>
      </w:r>
    </w:p>
  </w:footnote>
  <w:footnote w:type="continuationSeparator" w:id="0">
    <w:p w14:paraId="172B951B" w14:textId="77777777" w:rsidR="00E06C23" w:rsidRDefault="00E06C23" w:rsidP="0011114F">
      <w:pPr>
        <w:spacing w:after="0"/>
      </w:pPr>
      <w:r>
        <w:continuationSeparator/>
      </w:r>
    </w:p>
  </w:footnote>
  <w:footnote w:id="1">
    <w:p w14:paraId="5D8F3143" w14:textId="77777777" w:rsidR="001A1B8B" w:rsidRPr="00A373D2" w:rsidRDefault="001A1B8B" w:rsidP="001A1B8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the Wales Index of Multiple Deprivation </w:t>
      </w:r>
      <w:r>
        <w:rPr>
          <w:rFonts w:ascii="Arial" w:hAnsi="Arial" w:cs="Arial"/>
          <w:sz w:val="22"/>
          <w:szCs w:val="22"/>
          <w:lang w:val="en-GB"/>
        </w:rPr>
        <w:t>highlighted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 the significant challenges that face some areas of the Gwent region.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There are a </w:t>
      </w:r>
      <w:r>
        <w:rPr>
          <w:rFonts w:ascii="Arial" w:hAnsi="Arial" w:cs="Arial"/>
          <w:sz w:val="22"/>
          <w:szCs w:val="22"/>
          <w:lang w:val="en-GB"/>
        </w:rPr>
        <w:t xml:space="preserve">numerous </w:t>
      </w:r>
      <w:r w:rsidRPr="00BB15B8">
        <w:rPr>
          <w:rFonts w:ascii="Arial" w:hAnsi="Arial" w:cs="Arial"/>
          <w:sz w:val="22"/>
          <w:szCs w:val="22"/>
          <w:lang w:val="en-GB"/>
        </w:rPr>
        <w:t xml:space="preserve">factors including housing, health, employment, population increases, job opportunities, education and general socio-economic, </w:t>
      </w:r>
      <w:proofErr w:type="gramStart"/>
      <w:r w:rsidRPr="00BB15B8">
        <w:rPr>
          <w:rFonts w:ascii="Arial" w:hAnsi="Arial" w:cs="Arial"/>
          <w:sz w:val="22"/>
          <w:szCs w:val="22"/>
          <w:lang w:val="en-GB"/>
        </w:rPr>
        <w:t>cultural</w:t>
      </w:r>
      <w:proofErr w:type="gramEnd"/>
      <w:r w:rsidRPr="00BB15B8">
        <w:rPr>
          <w:rFonts w:ascii="Arial" w:hAnsi="Arial" w:cs="Arial"/>
          <w:sz w:val="22"/>
          <w:szCs w:val="22"/>
          <w:lang w:val="en-GB"/>
        </w:rPr>
        <w:t xml:space="preserve"> and environmental conditions that differ between Local Authorities.</w:t>
      </w:r>
    </w:p>
  </w:footnote>
  <w:footnote w:id="2">
    <w:p w14:paraId="5BCAC21A" w14:textId="2B9134DB" w:rsidR="00167083" w:rsidRPr="00167083" w:rsidRDefault="00167083">
      <w:pPr>
        <w:pStyle w:val="FootnoteText"/>
        <w:rPr>
          <w:rFonts w:ascii="Arial" w:hAnsi="Arial" w:cs="Arial"/>
          <w:sz w:val="22"/>
          <w:szCs w:val="22"/>
          <w:lang w:val="en-GB"/>
        </w:rPr>
      </w:pPr>
      <w:r w:rsidRPr="00167083">
        <w:rPr>
          <w:rStyle w:val="FootnoteReference"/>
        </w:rPr>
        <w:footnoteRef/>
      </w:r>
      <w:r w:rsidRPr="00167083">
        <w:rPr>
          <w:rFonts w:ascii="Arial" w:hAnsi="Arial" w:cs="Arial"/>
          <w:sz w:val="22"/>
          <w:szCs w:val="22"/>
        </w:rPr>
        <w:t xml:space="preserve"> See </w:t>
      </w:r>
      <w:hyperlink w:history="1">
        <w:r w:rsidRPr="003F0065">
          <w:rPr>
            <w:rStyle w:val="Hyperlink"/>
            <w:rFonts w:ascii="Arial" w:hAnsi="Arial" w:cs="Arial"/>
            <w:sz w:val="22"/>
            <w:szCs w:val="22"/>
          </w:rPr>
          <w:t>Consultation document (accessible) - GOV.UK (www.gov.uk)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5F29" w14:textId="77777777" w:rsidR="008D32B8" w:rsidRPr="00CC3F59" w:rsidRDefault="008D32B8" w:rsidP="0011114F">
    <w:pPr>
      <w:pStyle w:val="Header"/>
      <w:rPr>
        <w:rFonts w:ascii="Arial" w:hAnsi="Arial" w:cs="Arial"/>
      </w:rPr>
    </w:pPr>
    <w:r w:rsidRPr="00CC3F59">
      <w:rPr>
        <w:rFonts w:ascii="Arial" w:hAnsi="Arial" w:cs="Arial"/>
      </w:rPr>
      <w:t>PROTECTIVE MARKING: PROTECT, SUBJECT TO PUBLICATION STRATEGY</w:t>
    </w:r>
  </w:p>
  <w:p w14:paraId="06178B2E" w14:textId="77777777" w:rsidR="008D32B8" w:rsidRDefault="008D32B8">
    <w:pPr>
      <w:pStyle w:val="Header"/>
    </w:pPr>
  </w:p>
  <w:p w14:paraId="50430ABF" w14:textId="77777777" w:rsidR="008D32B8" w:rsidRDefault="008D3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067"/>
    <w:multiLevelType w:val="hybridMultilevel"/>
    <w:tmpl w:val="B3ECD634"/>
    <w:lvl w:ilvl="0" w:tplc="F6001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1DC"/>
    <w:multiLevelType w:val="hybridMultilevel"/>
    <w:tmpl w:val="19D45838"/>
    <w:lvl w:ilvl="0" w:tplc="ED628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D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48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63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0D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E0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4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E9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EB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CDD"/>
    <w:multiLevelType w:val="hybridMultilevel"/>
    <w:tmpl w:val="B3ECD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DB7"/>
    <w:multiLevelType w:val="hybridMultilevel"/>
    <w:tmpl w:val="9B6E3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902C3"/>
    <w:multiLevelType w:val="hybridMultilevel"/>
    <w:tmpl w:val="0BD8BC42"/>
    <w:lvl w:ilvl="0" w:tplc="9B661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5CF1"/>
    <w:multiLevelType w:val="hybridMultilevel"/>
    <w:tmpl w:val="A35A2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89937"/>
    <w:multiLevelType w:val="hybridMultilevel"/>
    <w:tmpl w:val="45A2CE90"/>
    <w:lvl w:ilvl="0" w:tplc="ED7E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C1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8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9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F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49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8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2A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8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2C6C"/>
    <w:multiLevelType w:val="hybridMultilevel"/>
    <w:tmpl w:val="84BE0E02"/>
    <w:lvl w:ilvl="0" w:tplc="5A82B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D18"/>
    <w:multiLevelType w:val="hybridMultilevel"/>
    <w:tmpl w:val="1EB2D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90834"/>
    <w:multiLevelType w:val="hybridMultilevel"/>
    <w:tmpl w:val="A1EE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07CAC"/>
    <w:multiLevelType w:val="hybridMultilevel"/>
    <w:tmpl w:val="297E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68DB"/>
    <w:multiLevelType w:val="hybridMultilevel"/>
    <w:tmpl w:val="98F8128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5D93410B"/>
    <w:multiLevelType w:val="hybridMultilevel"/>
    <w:tmpl w:val="73CA7B78"/>
    <w:lvl w:ilvl="0" w:tplc="1DC45DEA">
      <w:start w:val="1"/>
      <w:numFmt w:val="decimal"/>
      <w:lvlText w:val="%1."/>
      <w:lvlJc w:val="left"/>
      <w:pPr>
        <w:ind w:left="720" w:hanging="360"/>
      </w:pPr>
    </w:lvl>
    <w:lvl w:ilvl="1" w:tplc="45ECF918">
      <w:start w:val="1"/>
      <w:numFmt w:val="lowerLetter"/>
      <w:lvlText w:val="%2."/>
      <w:lvlJc w:val="left"/>
      <w:pPr>
        <w:ind w:left="1440" w:hanging="360"/>
      </w:pPr>
    </w:lvl>
    <w:lvl w:ilvl="2" w:tplc="B2084E64">
      <w:start w:val="1"/>
      <w:numFmt w:val="lowerRoman"/>
      <w:lvlText w:val="%3."/>
      <w:lvlJc w:val="right"/>
      <w:pPr>
        <w:ind w:left="2160" w:hanging="180"/>
      </w:pPr>
    </w:lvl>
    <w:lvl w:ilvl="3" w:tplc="C4C6600E">
      <w:start w:val="1"/>
      <w:numFmt w:val="decimal"/>
      <w:lvlText w:val="%4."/>
      <w:lvlJc w:val="left"/>
      <w:pPr>
        <w:ind w:left="2880" w:hanging="360"/>
      </w:pPr>
    </w:lvl>
    <w:lvl w:ilvl="4" w:tplc="7ABCF632">
      <w:start w:val="1"/>
      <w:numFmt w:val="lowerLetter"/>
      <w:lvlText w:val="%5."/>
      <w:lvlJc w:val="left"/>
      <w:pPr>
        <w:ind w:left="3600" w:hanging="360"/>
      </w:pPr>
    </w:lvl>
    <w:lvl w:ilvl="5" w:tplc="692E7F1C">
      <w:start w:val="1"/>
      <w:numFmt w:val="lowerRoman"/>
      <w:lvlText w:val="%6."/>
      <w:lvlJc w:val="right"/>
      <w:pPr>
        <w:ind w:left="4320" w:hanging="180"/>
      </w:pPr>
    </w:lvl>
    <w:lvl w:ilvl="6" w:tplc="BA921EE2">
      <w:start w:val="1"/>
      <w:numFmt w:val="decimal"/>
      <w:lvlText w:val="%7."/>
      <w:lvlJc w:val="left"/>
      <w:pPr>
        <w:ind w:left="5040" w:hanging="360"/>
      </w:pPr>
    </w:lvl>
    <w:lvl w:ilvl="7" w:tplc="19EE02E4">
      <w:start w:val="1"/>
      <w:numFmt w:val="lowerLetter"/>
      <w:lvlText w:val="%8."/>
      <w:lvlJc w:val="left"/>
      <w:pPr>
        <w:ind w:left="5760" w:hanging="360"/>
      </w:pPr>
    </w:lvl>
    <w:lvl w:ilvl="8" w:tplc="3B3A9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C6AD6"/>
    <w:multiLevelType w:val="hybridMultilevel"/>
    <w:tmpl w:val="F1421C02"/>
    <w:lvl w:ilvl="0" w:tplc="24CCF8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804AD"/>
    <w:multiLevelType w:val="hybridMultilevel"/>
    <w:tmpl w:val="FC76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C971FC"/>
    <w:multiLevelType w:val="hybridMultilevel"/>
    <w:tmpl w:val="377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B4C9F"/>
    <w:multiLevelType w:val="hybridMultilevel"/>
    <w:tmpl w:val="698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79604">
    <w:abstractNumId w:val="12"/>
  </w:num>
  <w:num w:numId="2" w16cid:durableId="80570302">
    <w:abstractNumId w:val="14"/>
  </w:num>
  <w:num w:numId="3" w16cid:durableId="842168039">
    <w:abstractNumId w:val="8"/>
  </w:num>
  <w:num w:numId="4" w16cid:durableId="1173298044">
    <w:abstractNumId w:val="5"/>
  </w:num>
  <w:num w:numId="5" w16cid:durableId="790393940">
    <w:abstractNumId w:val="16"/>
  </w:num>
  <w:num w:numId="6" w16cid:durableId="383799857">
    <w:abstractNumId w:val="3"/>
  </w:num>
  <w:num w:numId="7" w16cid:durableId="316225319">
    <w:abstractNumId w:val="9"/>
  </w:num>
  <w:num w:numId="8" w16cid:durableId="2046368435">
    <w:abstractNumId w:val="15"/>
  </w:num>
  <w:num w:numId="9" w16cid:durableId="1299192114">
    <w:abstractNumId w:val="11"/>
  </w:num>
  <w:num w:numId="10" w16cid:durableId="327635899">
    <w:abstractNumId w:val="10"/>
  </w:num>
  <w:num w:numId="11" w16cid:durableId="1430151756">
    <w:abstractNumId w:val="4"/>
  </w:num>
  <w:num w:numId="12" w16cid:durableId="628753349">
    <w:abstractNumId w:val="1"/>
  </w:num>
  <w:num w:numId="13" w16cid:durableId="1383480398">
    <w:abstractNumId w:val="6"/>
  </w:num>
  <w:num w:numId="14" w16cid:durableId="814024791">
    <w:abstractNumId w:val="13"/>
  </w:num>
  <w:num w:numId="15" w16cid:durableId="1792556697">
    <w:abstractNumId w:val="7"/>
  </w:num>
  <w:num w:numId="16" w16cid:durableId="1621648243">
    <w:abstractNumId w:val="0"/>
  </w:num>
  <w:num w:numId="17" w16cid:durableId="46458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4F"/>
    <w:rsid w:val="00006EB4"/>
    <w:rsid w:val="000130D3"/>
    <w:rsid w:val="000252D9"/>
    <w:rsid w:val="00027379"/>
    <w:rsid w:val="00031A70"/>
    <w:rsid w:val="0003636E"/>
    <w:rsid w:val="000370B8"/>
    <w:rsid w:val="0004429F"/>
    <w:rsid w:val="00050789"/>
    <w:rsid w:val="00054ED4"/>
    <w:rsid w:val="00066D48"/>
    <w:rsid w:val="00066D9D"/>
    <w:rsid w:val="000755DC"/>
    <w:rsid w:val="00077499"/>
    <w:rsid w:val="000910F3"/>
    <w:rsid w:val="00092347"/>
    <w:rsid w:val="000B38B1"/>
    <w:rsid w:val="000C5E05"/>
    <w:rsid w:val="000C6D98"/>
    <w:rsid w:val="000D1A82"/>
    <w:rsid w:val="000D42ED"/>
    <w:rsid w:val="000D6B45"/>
    <w:rsid w:val="000D6F0A"/>
    <w:rsid w:val="000D7B7B"/>
    <w:rsid w:val="000E4E99"/>
    <w:rsid w:val="000E6B9F"/>
    <w:rsid w:val="00101384"/>
    <w:rsid w:val="00101EDF"/>
    <w:rsid w:val="001047E5"/>
    <w:rsid w:val="00110A36"/>
    <w:rsid w:val="0011114F"/>
    <w:rsid w:val="0011289F"/>
    <w:rsid w:val="00144BB2"/>
    <w:rsid w:val="00144C56"/>
    <w:rsid w:val="00167083"/>
    <w:rsid w:val="0016722B"/>
    <w:rsid w:val="00170DBA"/>
    <w:rsid w:val="001A1B8B"/>
    <w:rsid w:val="001A4BA1"/>
    <w:rsid w:val="001B1E62"/>
    <w:rsid w:val="001B3B01"/>
    <w:rsid w:val="001B4660"/>
    <w:rsid w:val="001B4B27"/>
    <w:rsid w:val="001C2BA3"/>
    <w:rsid w:val="001D016B"/>
    <w:rsid w:val="001D78AC"/>
    <w:rsid w:val="001E2BA8"/>
    <w:rsid w:val="001F4189"/>
    <w:rsid w:val="00201EFB"/>
    <w:rsid w:val="00205D20"/>
    <w:rsid w:val="00224251"/>
    <w:rsid w:val="002265F5"/>
    <w:rsid w:val="0023761A"/>
    <w:rsid w:val="00250660"/>
    <w:rsid w:val="0025791A"/>
    <w:rsid w:val="00272009"/>
    <w:rsid w:val="00274F93"/>
    <w:rsid w:val="00275859"/>
    <w:rsid w:val="0028019E"/>
    <w:rsid w:val="0028261F"/>
    <w:rsid w:val="002924B7"/>
    <w:rsid w:val="002931AC"/>
    <w:rsid w:val="00297030"/>
    <w:rsid w:val="002A07F7"/>
    <w:rsid w:val="002B1C91"/>
    <w:rsid w:val="002B536B"/>
    <w:rsid w:val="002B661D"/>
    <w:rsid w:val="002C274E"/>
    <w:rsid w:val="002C300D"/>
    <w:rsid w:val="002C4670"/>
    <w:rsid w:val="002D48A1"/>
    <w:rsid w:val="002D567B"/>
    <w:rsid w:val="002E403C"/>
    <w:rsid w:val="002F3883"/>
    <w:rsid w:val="003037FE"/>
    <w:rsid w:val="00305331"/>
    <w:rsid w:val="00323EFF"/>
    <w:rsid w:val="00330B4F"/>
    <w:rsid w:val="00351B82"/>
    <w:rsid w:val="00360D25"/>
    <w:rsid w:val="00362D1A"/>
    <w:rsid w:val="00367069"/>
    <w:rsid w:val="00377DCE"/>
    <w:rsid w:val="00380FC6"/>
    <w:rsid w:val="00386528"/>
    <w:rsid w:val="00390146"/>
    <w:rsid w:val="00391C22"/>
    <w:rsid w:val="003A7350"/>
    <w:rsid w:val="003B03AF"/>
    <w:rsid w:val="003B18D0"/>
    <w:rsid w:val="003B661A"/>
    <w:rsid w:val="003D4B68"/>
    <w:rsid w:val="004071FD"/>
    <w:rsid w:val="00431AEA"/>
    <w:rsid w:val="0043748B"/>
    <w:rsid w:val="00440BCF"/>
    <w:rsid w:val="00453EBF"/>
    <w:rsid w:val="0045694C"/>
    <w:rsid w:val="00457C55"/>
    <w:rsid w:val="00473A22"/>
    <w:rsid w:val="00481053"/>
    <w:rsid w:val="00482355"/>
    <w:rsid w:val="00493A4D"/>
    <w:rsid w:val="004A1F56"/>
    <w:rsid w:val="004C1BCE"/>
    <w:rsid w:val="004C4849"/>
    <w:rsid w:val="004D7E43"/>
    <w:rsid w:val="004E3069"/>
    <w:rsid w:val="004F5561"/>
    <w:rsid w:val="004F646F"/>
    <w:rsid w:val="0050276F"/>
    <w:rsid w:val="00514E1C"/>
    <w:rsid w:val="00524A50"/>
    <w:rsid w:val="00525FBA"/>
    <w:rsid w:val="0052783C"/>
    <w:rsid w:val="0053327F"/>
    <w:rsid w:val="00535B45"/>
    <w:rsid w:val="00540A94"/>
    <w:rsid w:val="005444E2"/>
    <w:rsid w:val="0054609C"/>
    <w:rsid w:val="00547FC6"/>
    <w:rsid w:val="00564614"/>
    <w:rsid w:val="00566D4B"/>
    <w:rsid w:val="00571BC7"/>
    <w:rsid w:val="00572819"/>
    <w:rsid w:val="00574ACB"/>
    <w:rsid w:val="00576F09"/>
    <w:rsid w:val="00580239"/>
    <w:rsid w:val="00583F23"/>
    <w:rsid w:val="00585688"/>
    <w:rsid w:val="0059556C"/>
    <w:rsid w:val="005A3764"/>
    <w:rsid w:val="005A71A6"/>
    <w:rsid w:val="005B517B"/>
    <w:rsid w:val="005C4140"/>
    <w:rsid w:val="005C5EB4"/>
    <w:rsid w:val="005C77AD"/>
    <w:rsid w:val="005D1BA8"/>
    <w:rsid w:val="005D5F9C"/>
    <w:rsid w:val="005D6ED1"/>
    <w:rsid w:val="005D794C"/>
    <w:rsid w:val="005F06D3"/>
    <w:rsid w:val="005F1869"/>
    <w:rsid w:val="006119D3"/>
    <w:rsid w:val="00616C83"/>
    <w:rsid w:val="006318CE"/>
    <w:rsid w:val="00637C30"/>
    <w:rsid w:val="00652782"/>
    <w:rsid w:val="006559ED"/>
    <w:rsid w:val="00666746"/>
    <w:rsid w:val="00670041"/>
    <w:rsid w:val="00681FE6"/>
    <w:rsid w:val="00693AD0"/>
    <w:rsid w:val="006B429E"/>
    <w:rsid w:val="006B79CC"/>
    <w:rsid w:val="006C08F6"/>
    <w:rsid w:val="006D1812"/>
    <w:rsid w:val="006E324B"/>
    <w:rsid w:val="006E4CB5"/>
    <w:rsid w:val="0070117C"/>
    <w:rsid w:val="00705274"/>
    <w:rsid w:val="007152BC"/>
    <w:rsid w:val="00731475"/>
    <w:rsid w:val="00735B57"/>
    <w:rsid w:val="00736991"/>
    <w:rsid w:val="00740B11"/>
    <w:rsid w:val="00740DBF"/>
    <w:rsid w:val="007446BF"/>
    <w:rsid w:val="00747606"/>
    <w:rsid w:val="0075662B"/>
    <w:rsid w:val="007614AC"/>
    <w:rsid w:val="007675DF"/>
    <w:rsid w:val="00780840"/>
    <w:rsid w:val="00786978"/>
    <w:rsid w:val="007952A1"/>
    <w:rsid w:val="00796FAE"/>
    <w:rsid w:val="007B3216"/>
    <w:rsid w:val="007B5B73"/>
    <w:rsid w:val="007B7A63"/>
    <w:rsid w:val="007C0050"/>
    <w:rsid w:val="007C6B90"/>
    <w:rsid w:val="007D26B6"/>
    <w:rsid w:val="007E0669"/>
    <w:rsid w:val="007E2E11"/>
    <w:rsid w:val="007F2B31"/>
    <w:rsid w:val="007F34F0"/>
    <w:rsid w:val="00804991"/>
    <w:rsid w:val="00810A53"/>
    <w:rsid w:val="0082172F"/>
    <w:rsid w:val="008219DF"/>
    <w:rsid w:val="0082383A"/>
    <w:rsid w:val="0083226E"/>
    <w:rsid w:val="0083458B"/>
    <w:rsid w:val="00841118"/>
    <w:rsid w:val="00845456"/>
    <w:rsid w:val="00847F17"/>
    <w:rsid w:val="00854258"/>
    <w:rsid w:val="008549D4"/>
    <w:rsid w:val="008630A4"/>
    <w:rsid w:val="00864DF3"/>
    <w:rsid w:val="00865E7B"/>
    <w:rsid w:val="00887331"/>
    <w:rsid w:val="0088758D"/>
    <w:rsid w:val="00887B1A"/>
    <w:rsid w:val="0089353C"/>
    <w:rsid w:val="00897E19"/>
    <w:rsid w:val="008A25B9"/>
    <w:rsid w:val="008A3568"/>
    <w:rsid w:val="008B24A7"/>
    <w:rsid w:val="008B5DFB"/>
    <w:rsid w:val="008D32B8"/>
    <w:rsid w:val="008E2F77"/>
    <w:rsid w:val="008E4C5C"/>
    <w:rsid w:val="008F5C6A"/>
    <w:rsid w:val="009031E2"/>
    <w:rsid w:val="00903D5A"/>
    <w:rsid w:val="00925762"/>
    <w:rsid w:val="00930390"/>
    <w:rsid w:val="0093545D"/>
    <w:rsid w:val="009743C8"/>
    <w:rsid w:val="009A6899"/>
    <w:rsid w:val="009B27C3"/>
    <w:rsid w:val="009B5620"/>
    <w:rsid w:val="009C2941"/>
    <w:rsid w:val="009D14FC"/>
    <w:rsid w:val="009D51DE"/>
    <w:rsid w:val="009D5E74"/>
    <w:rsid w:val="009D7F55"/>
    <w:rsid w:val="009E4B43"/>
    <w:rsid w:val="00A01586"/>
    <w:rsid w:val="00A07A6C"/>
    <w:rsid w:val="00A14060"/>
    <w:rsid w:val="00A24EC9"/>
    <w:rsid w:val="00A31A31"/>
    <w:rsid w:val="00A373D2"/>
    <w:rsid w:val="00A4102C"/>
    <w:rsid w:val="00A41D12"/>
    <w:rsid w:val="00A44A84"/>
    <w:rsid w:val="00A53764"/>
    <w:rsid w:val="00A846F4"/>
    <w:rsid w:val="00AA7D26"/>
    <w:rsid w:val="00AC24CC"/>
    <w:rsid w:val="00AD48EA"/>
    <w:rsid w:val="00AD6EC0"/>
    <w:rsid w:val="00AF2614"/>
    <w:rsid w:val="00AF4355"/>
    <w:rsid w:val="00B00762"/>
    <w:rsid w:val="00B03C15"/>
    <w:rsid w:val="00B12612"/>
    <w:rsid w:val="00B17B22"/>
    <w:rsid w:val="00B188A5"/>
    <w:rsid w:val="00B20F4C"/>
    <w:rsid w:val="00B32F0C"/>
    <w:rsid w:val="00B66D3A"/>
    <w:rsid w:val="00B70C32"/>
    <w:rsid w:val="00B94172"/>
    <w:rsid w:val="00BA09F6"/>
    <w:rsid w:val="00BA10ED"/>
    <w:rsid w:val="00BB15B8"/>
    <w:rsid w:val="00BF3041"/>
    <w:rsid w:val="00C00D75"/>
    <w:rsid w:val="00C06CA7"/>
    <w:rsid w:val="00C1012B"/>
    <w:rsid w:val="00C1092D"/>
    <w:rsid w:val="00C12274"/>
    <w:rsid w:val="00C150CC"/>
    <w:rsid w:val="00C15DCC"/>
    <w:rsid w:val="00C20154"/>
    <w:rsid w:val="00C33E40"/>
    <w:rsid w:val="00C3579B"/>
    <w:rsid w:val="00C405B0"/>
    <w:rsid w:val="00C44A73"/>
    <w:rsid w:val="00C7552A"/>
    <w:rsid w:val="00C97026"/>
    <w:rsid w:val="00CA26E7"/>
    <w:rsid w:val="00CA6A31"/>
    <w:rsid w:val="00CC616C"/>
    <w:rsid w:val="00CE08AF"/>
    <w:rsid w:val="00CE0E21"/>
    <w:rsid w:val="00CE1DE9"/>
    <w:rsid w:val="00CE211B"/>
    <w:rsid w:val="00CF4770"/>
    <w:rsid w:val="00CF64B2"/>
    <w:rsid w:val="00D01DF5"/>
    <w:rsid w:val="00D0254C"/>
    <w:rsid w:val="00D048ED"/>
    <w:rsid w:val="00D31590"/>
    <w:rsid w:val="00D328F0"/>
    <w:rsid w:val="00D35778"/>
    <w:rsid w:val="00D72B91"/>
    <w:rsid w:val="00D73FD0"/>
    <w:rsid w:val="00D745CB"/>
    <w:rsid w:val="00D902FF"/>
    <w:rsid w:val="00DA4096"/>
    <w:rsid w:val="00DA7157"/>
    <w:rsid w:val="00DA7473"/>
    <w:rsid w:val="00DB13A0"/>
    <w:rsid w:val="00DB394C"/>
    <w:rsid w:val="00DC07AA"/>
    <w:rsid w:val="00DD0035"/>
    <w:rsid w:val="00DD30CB"/>
    <w:rsid w:val="00DE060C"/>
    <w:rsid w:val="00DE0902"/>
    <w:rsid w:val="00DE25F6"/>
    <w:rsid w:val="00DE4B7E"/>
    <w:rsid w:val="00DE74A8"/>
    <w:rsid w:val="00DF38FB"/>
    <w:rsid w:val="00E0356B"/>
    <w:rsid w:val="00E06C23"/>
    <w:rsid w:val="00E20CBD"/>
    <w:rsid w:val="00E36C02"/>
    <w:rsid w:val="00E40B19"/>
    <w:rsid w:val="00E41ECE"/>
    <w:rsid w:val="00E64BE8"/>
    <w:rsid w:val="00E6598B"/>
    <w:rsid w:val="00E776DB"/>
    <w:rsid w:val="00E80629"/>
    <w:rsid w:val="00E96C43"/>
    <w:rsid w:val="00EA02E1"/>
    <w:rsid w:val="00EA397A"/>
    <w:rsid w:val="00EB031C"/>
    <w:rsid w:val="00EB5905"/>
    <w:rsid w:val="00EC43A3"/>
    <w:rsid w:val="00ED4A8D"/>
    <w:rsid w:val="00EE35F8"/>
    <w:rsid w:val="00EE6F6A"/>
    <w:rsid w:val="00EF6199"/>
    <w:rsid w:val="00F022BC"/>
    <w:rsid w:val="00F05A13"/>
    <w:rsid w:val="00F07C85"/>
    <w:rsid w:val="00F1450C"/>
    <w:rsid w:val="00F2074A"/>
    <w:rsid w:val="00F44931"/>
    <w:rsid w:val="00F460F6"/>
    <w:rsid w:val="00F4757F"/>
    <w:rsid w:val="00F64778"/>
    <w:rsid w:val="00F760CE"/>
    <w:rsid w:val="00F82820"/>
    <w:rsid w:val="00F9547A"/>
    <w:rsid w:val="00FB5F54"/>
    <w:rsid w:val="00FC0A22"/>
    <w:rsid w:val="00FC3DF5"/>
    <w:rsid w:val="00FE3BA7"/>
    <w:rsid w:val="00FF2A91"/>
    <w:rsid w:val="01A7DA14"/>
    <w:rsid w:val="025CC2DD"/>
    <w:rsid w:val="03375D73"/>
    <w:rsid w:val="0390E938"/>
    <w:rsid w:val="03D9DD8F"/>
    <w:rsid w:val="03F8933E"/>
    <w:rsid w:val="040080C4"/>
    <w:rsid w:val="0584F9C8"/>
    <w:rsid w:val="059C5125"/>
    <w:rsid w:val="06472BB2"/>
    <w:rsid w:val="06C889FA"/>
    <w:rsid w:val="078A3E56"/>
    <w:rsid w:val="08D3F1E7"/>
    <w:rsid w:val="09973520"/>
    <w:rsid w:val="09AA1446"/>
    <w:rsid w:val="0BFB75CC"/>
    <w:rsid w:val="0EB1AB69"/>
    <w:rsid w:val="0EDCCD9D"/>
    <w:rsid w:val="114DF0EB"/>
    <w:rsid w:val="11B1B0DC"/>
    <w:rsid w:val="11E60F04"/>
    <w:rsid w:val="134804F1"/>
    <w:rsid w:val="13556EC3"/>
    <w:rsid w:val="13F42B00"/>
    <w:rsid w:val="1416A48E"/>
    <w:rsid w:val="14E9519E"/>
    <w:rsid w:val="15B3F839"/>
    <w:rsid w:val="15DF95D9"/>
    <w:rsid w:val="168521FF"/>
    <w:rsid w:val="168D0F85"/>
    <w:rsid w:val="16BE6325"/>
    <w:rsid w:val="1890571B"/>
    <w:rsid w:val="19BCC2C1"/>
    <w:rsid w:val="19F603E7"/>
    <w:rsid w:val="1B91D448"/>
    <w:rsid w:val="1C941A23"/>
    <w:rsid w:val="1D920CCA"/>
    <w:rsid w:val="1E0EA707"/>
    <w:rsid w:val="1EAB06D6"/>
    <w:rsid w:val="201C9A6E"/>
    <w:rsid w:val="2033F1CB"/>
    <w:rsid w:val="20C4DCA4"/>
    <w:rsid w:val="2283B834"/>
    <w:rsid w:val="2383BDD0"/>
    <w:rsid w:val="2492E95F"/>
    <w:rsid w:val="24D08D02"/>
    <w:rsid w:val="24F7F917"/>
    <w:rsid w:val="250762EE"/>
    <w:rsid w:val="25FBA5B8"/>
    <w:rsid w:val="2693C978"/>
    <w:rsid w:val="26E6624F"/>
    <w:rsid w:val="283F03B0"/>
    <w:rsid w:val="28D67F94"/>
    <w:rsid w:val="29F2CD96"/>
    <w:rsid w:val="29F2FF54"/>
    <w:rsid w:val="29F51B99"/>
    <w:rsid w:val="2B8ECFB5"/>
    <w:rsid w:val="2BF1F300"/>
    <w:rsid w:val="2D1E5D6D"/>
    <w:rsid w:val="2D6517DE"/>
    <w:rsid w:val="2E06487C"/>
    <w:rsid w:val="2EC67077"/>
    <w:rsid w:val="31FB7E52"/>
    <w:rsid w:val="32D435B7"/>
    <w:rsid w:val="3327F9F5"/>
    <w:rsid w:val="34F6C63E"/>
    <w:rsid w:val="359BA8F4"/>
    <w:rsid w:val="36ABC7F5"/>
    <w:rsid w:val="375D2DFD"/>
    <w:rsid w:val="3CA25EA0"/>
    <w:rsid w:val="3D48B166"/>
    <w:rsid w:val="3D9F6A39"/>
    <w:rsid w:val="3F773111"/>
    <w:rsid w:val="3FF97AAF"/>
    <w:rsid w:val="416B6A18"/>
    <w:rsid w:val="42A52C28"/>
    <w:rsid w:val="4302F4E2"/>
    <w:rsid w:val="43EEEDC5"/>
    <w:rsid w:val="4474D297"/>
    <w:rsid w:val="44A5A16C"/>
    <w:rsid w:val="4534F85D"/>
    <w:rsid w:val="47AC7359"/>
    <w:rsid w:val="494E9EB6"/>
    <w:rsid w:val="4A1071DA"/>
    <w:rsid w:val="4A2A3EF6"/>
    <w:rsid w:val="4BBC50D1"/>
    <w:rsid w:val="4C118E9C"/>
    <w:rsid w:val="4DBB64B1"/>
    <w:rsid w:val="4DD3B82E"/>
    <w:rsid w:val="4ED53A8B"/>
    <w:rsid w:val="4EE487BC"/>
    <w:rsid w:val="5100F13F"/>
    <w:rsid w:val="5128658B"/>
    <w:rsid w:val="513A2D42"/>
    <w:rsid w:val="52B74D35"/>
    <w:rsid w:val="538667D6"/>
    <w:rsid w:val="53E92A3E"/>
    <w:rsid w:val="54775DAA"/>
    <w:rsid w:val="554F45CE"/>
    <w:rsid w:val="55D53A5E"/>
    <w:rsid w:val="55FA05AE"/>
    <w:rsid w:val="5713DDF8"/>
    <w:rsid w:val="57305718"/>
    <w:rsid w:val="58680906"/>
    <w:rsid w:val="59F5A95A"/>
    <w:rsid w:val="5D2D4A1C"/>
    <w:rsid w:val="5E35E4C8"/>
    <w:rsid w:val="5ED5564D"/>
    <w:rsid w:val="60FA537F"/>
    <w:rsid w:val="6200BB3F"/>
    <w:rsid w:val="62307B48"/>
    <w:rsid w:val="62BC5741"/>
    <w:rsid w:val="62FD99AD"/>
    <w:rsid w:val="63B08249"/>
    <w:rsid w:val="647E179D"/>
    <w:rsid w:val="64996A0E"/>
    <w:rsid w:val="65EC30E2"/>
    <w:rsid w:val="6646299F"/>
    <w:rsid w:val="68025BB4"/>
    <w:rsid w:val="695188C0"/>
    <w:rsid w:val="6A13BAAA"/>
    <w:rsid w:val="6AED5921"/>
    <w:rsid w:val="6BAF8B0B"/>
    <w:rsid w:val="6BB2BC7B"/>
    <w:rsid w:val="6C30E953"/>
    <w:rsid w:val="7082FC2E"/>
    <w:rsid w:val="729A7789"/>
    <w:rsid w:val="72EB537C"/>
    <w:rsid w:val="73BA9CF0"/>
    <w:rsid w:val="73D3059C"/>
    <w:rsid w:val="7413C313"/>
    <w:rsid w:val="74B77B5E"/>
    <w:rsid w:val="75566D51"/>
    <w:rsid w:val="757E3FD4"/>
    <w:rsid w:val="76534BBF"/>
    <w:rsid w:val="78799616"/>
    <w:rsid w:val="797E0FB1"/>
    <w:rsid w:val="7A424720"/>
    <w:rsid w:val="7BDE1781"/>
    <w:rsid w:val="7BF56EDE"/>
    <w:rsid w:val="7C2D3C92"/>
    <w:rsid w:val="7CAED934"/>
    <w:rsid w:val="7FFBC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E5A2"/>
  <w15:chartTrackingRefBased/>
  <w15:docId w15:val="{73D0D5EC-7C64-415F-973B-93A537CE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4F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14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11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111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1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111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5376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6B45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C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C83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73D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3D2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73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7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 and Guidance" ma:contentTypeID="0x010100EB0625C9A63F4D4B8EA03AD71993C5F20043AE252C44B9DD49870477791F2DD137" ma:contentTypeVersion="12" ma:contentTypeDescription="Templates and Guidance and Reference Documents" ma:contentTypeScope="" ma:versionID="101434ec1b790242ab59be760a589e0f">
  <xsd:schema xmlns:xsd="http://www.w3.org/2001/XMLSchema" xmlns:xs="http://www.w3.org/2001/XMLSchema" xmlns:p="http://schemas.microsoft.com/office/2006/metadata/properties" xmlns:ns2="71402390-f531-407b-bd8d-c99836f7d335" xmlns:ns4="53a70ca0-3393-4de6-be19-6714f1948a04" targetNamespace="http://schemas.microsoft.com/office/2006/metadata/properties" ma:root="true" ma:fieldsID="0f74081a2956b2ee89d465859efad0a9" ns2:_="" ns4:_="">
    <xsd:import namespace="71402390-f531-407b-bd8d-c99836f7d335"/>
    <xsd:import namespace="53a70ca0-3393-4de6-be19-6714f1948a04"/>
    <xsd:element name="properties">
      <xsd:complexType>
        <xsd:sequence>
          <xsd:element name="documentManagement">
            <xsd:complexType>
              <xsd:all>
                <xsd:element ref="ns2:CI_TGArea" minOccurs="0"/>
                <xsd:element ref="ns2:Additional_Information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390-f531-407b-bd8d-c99836f7d335" elementFormDefault="qualified">
    <xsd:import namespace="http://schemas.microsoft.com/office/2006/documentManagement/types"/>
    <xsd:import namespace="http://schemas.microsoft.com/office/infopath/2007/PartnerControls"/>
    <xsd:element name="CI_TGArea" ma:index="1" nillable="true" ma:displayName="Area" ma:default="Select / Add New..." ma:format="Dropdown" ma:internalName="CI_TGArea" ma:readOnly="false">
      <xsd:simpleType>
        <xsd:union memberTypes="dms:Text">
          <xsd:simpleType>
            <xsd:restriction base="dms:Choice">
              <xsd:enumeration value="Select / Add New..."/>
            </xsd:restriction>
          </xsd:simpleType>
        </xsd:union>
      </xsd:simpleType>
    </xsd:element>
    <xsd:element name="Additional_Information" ma:index="3" nillable="true" ma:displayName="Additional Information" ma:internalName="Additional_Infor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70ca0-3393-4de6-be19-6714f1948a0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b0b8407-7c49-43a1-8c7b-0ad65fbb55ab}" ma:internalName="TaxCatchAll" ma:showField="CatchAllData" ma:web="71402390-f531-407b-bd8d-c99836f7d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b0b8407-7c49-43a1-8c7b-0ad65fbb55ab}" ma:internalName="TaxCatchAllLabel" ma:readOnly="true" ma:showField="CatchAllDataLabel" ma:web="71402390-f531-407b-bd8d-c99836f7d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70ca0-3393-4de6-be19-6714f1948a04" xsi:nil="true"/>
    <Additional_Information xmlns="71402390-f531-407b-bd8d-c99836f7d335" xsi:nil="true"/>
    <CI_TGArea xmlns="71402390-f531-407b-bd8d-c99836f7d335">Project Management</CI_TGAre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DD712-3F3B-43CB-AA55-354A5E28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02390-f531-407b-bd8d-c99836f7d335"/>
    <ds:schemaRef ds:uri="53a70ca0-3393-4de6-be19-6714f1948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E3AEF-43DE-42E1-AEE0-3812EC520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933C1F-E102-4C8A-9930-63F5B8D21BDD}">
  <ds:schemaRefs>
    <ds:schemaRef ds:uri="http://schemas.microsoft.com/office/2006/metadata/properties"/>
    <ds:schemaRef ds:uri="http://schemas.microsoft.com/office/infopath/2007/PartnerControls"/>
    <ds:schemaRef ds:uri="53a70ca0-3393-4de6-be19-6714f1948a04"/>
    <ds:schemaRef ds:uri="71402390-f531-407b-bd8d-c99836f7d335"/>
  </ds:schemaRefs>
</ds:datastoreItem>
</file>

<file path=customXml/itemProps4.xml><?xml version="1.0" encoding="utf-8"?>
<ds:datastoreItem xmlns:ds="http://schemas.openxmlformats.org/officeDocument/2006/customXml" ds:itemID="{F2B5E585-E6A9-40BF-956D-7DFA9839B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Reports</dc:subject>
  <dc:creator>Alison.Williams@gwent.police.uk</dc:creator>
  <cp:keywords/>
  <dc:description>Original Content Created Date - 10/08/2020 16:18:00</dc:description>
  <cp:lastModifiedBy>Pells, Heather</cp:lastModifiedBy>
  <cp:revision>4</cp:revision>
  <dcterms:created xsi:type="dcterms:W3CDTF">2023-12-12T12:30:00Z</dcterms:created>
  <dcterms:modified xsi:type="dcterms:W3CDTF">2023-12-12T13:01:00Z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2022-02-21T10:12:26Z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dc7c2e33-014a-4da3-8035-300f7feaa2b1</vt:lpwstr>
  </property>
  <property fmtid="{D5CDD505-2E9C-101B-9397-08002B2CF9AE}" pid="11" name="MSIP_Label_f2acd28b-79a3-4a0f-b0ff-4b75658b1549_ContentBits">
    <vt:lpwstr>0</vt:lpwstr>
  </property>
  <property fmtid="{D5CDD505-2E9C-101B-9397-08002B2CF9AE}" pid="12" name="CI_Template">
    <vt:lpwstr/>
  </property>
  <property fmtid="{D5CDD505-2E9C-101B-9397-08002B2CF9AE}" pid="13" name="ContentTypeId">
    <vt:lpwstr>0x010100EB0625C9A63F4D4B8EA03AD71993C5F20043AE252C44B9DD49870477791F2DD137</vt:lpwstr>
  </property>
  <property fmtid="{D5CDD505-2E9C-101B-9397-08002B2CF9AE}" pid="14" name="l5e1190cba214f62863737d4e075ef95">
    <vt:lpwstr/>
  </property>
  <property fmtid="{D5CDD505-2E9C-101B-9397-08002B2CF9AE}" pid="15" name="Department CI">
    <vt:lpwstr>22;#Change Management|496e967c-3d61-4369-9bad-bd9789dc98d9</vt:lpwstr>
  </property>
  <property fmtid="{D5CDD505-2E9C-101B-9397-08002B2CF9AE}" pid="16" name="a5405b81df5e4763b3b924e8edf623ab">
    <vt:lpwstr>Change Management|496e967c-3d61-4369-9bad-bd9789dc98d9</vt:lpwstr>
  </property>
  <property fmtid="{D5CDD505-2E9C-101B-9397-08002B2CF9AE}" pid="17" name="SharedWithUsers">
    <vt:lpwstr>9;#Everyone except external users</vt:lpwstr>
  </property>
</Properties>
</file>