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45"/>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6"/>
      </w:tblGrid>
      <w:tr w:rsidR="00A9226B" w:rsidRPr="0084129A" w14:paraId="0C2F6964" w14:textId="77777777" w:rsidTr="00A9226B">
        <w:trPr>
          <w:trHeight w:val="1550"/>
        </w:trPr>
        <w:tc>
          <w:tcPr>
            <w:tcW w:w="8886" w:type="dxa"/>
          </w:tcPr>
          <w:p w14:paraId="742A3977" w14:textId="77777777" w:rsidR="00A9226B" w:rsidRPr="0084129A" w:rsidRDefault="00A9226B" w:rsidP="00A9226B">
            <w:pPr>
              <w:spacing w:before="120" w:after="120" w:line="276" w:lineRule="auto"/>
              <w:ind w:left="1452" w:hanging="1418"/>
              <w:rPr>
                <w:rFonts w:eastAsia="Calibri" w:cstheme="minorHAnsi"/>
                <w:b/>
                <w:sz w:val="28"/>
                <w:szCs w:val="28"/>
              </w:rPr>
            </w:pPr>
            <w:r w:rsidRPr="0084129A">
              <w:rPr>
                <w:rFonts w:eastAsia="Calibri" w:cstheme="minorHAnsi"/>
                <w:b/>
                <w:sz w:val="28"/>
                <w:szCs w:val="28"/>
              </w:rPr>
              <w:t>SUBJECT:</w:t>
            </w:r>
            <w:r w:rsidRPr="0084129A">
              <w:rPr>
                <w:rFonts w:eastAsia="Calibri" w:cstheme="minorHAnsi"/>
                <w:b/>
                <w:sz w:val="28"/>
                <w:szCs w:val="28"/>
              </w:rPr>
              <w:tab/>
              <w:t xml:space="preserve">Gwent </w:t>
            </w:r>
            <w:r>
              <w:rPr>
                <w:rFonts w:eastAsia="Calibri" w:cstheme="minorHAnsi"/>
                <w:b/>
                <w:sz w:val="28"/>
                <w:szCs w:val="28"/>
              </w:rPr>
              <w:t>Well-being plan 2023-28 delivery plan</w:t>
            </w:r>
          </w:p>
          <w:p w14:paraId="12EB79A7" w14:textId="77777777" w:rsidR="00A9226B" w:rsidRDefault="00A9226B" w:rsidP="00A9226B">
            <w:pPr>
              <w:keepNext/>
              <w:spacing w:before="120" w:after="120" w:line="240" w:lineRule="auto"/>
              <w:outlineLvl w:val="2"/>
              <w:rPr>
                <w:rFonts w:eastAsia="Times New Roman" w:cstheme="minorHAnsi"/>
                <w:b/>
                <w:bCs/>
                <w:sz w:val="28"/>
                <w:szCs w:val="28"/>
              </w:rPr>
            </w:pPr>
            <w:r w:rsidRPr="0084129A">
              <w:rPr>
                <w:rFonts w:eastAsia="Times New Roman" w:cstheme="minorHAnsi"/>
                <w:b/>
                <w:bCs/>
                <w:sz w:val="28"/>
                <w:szCs w:val="28"/>
              </w:rPr>
              <w:t>MEETING:</w:t>
            </w:r>
            <w:r w:rsidRPr="0084129A">
              <w:rPr>
                <w:rFonts w:eastAsia="Times New Roman" w:cstheme="minorHAnsi"/>
                <w:b/>
                <w:bCs/>
                <w:sz w:val="28"/>
                <w:szCs w:val="28"/>
              </w:rPr>
              <w:tab/>
              <w:t xml:space="preserve">Gwent Public Services Board </w:t>
            </w:r>
          </w:p>
          <w:p w14:paraId="6EA6B30A" w14:textId="77777777" w:rsidR="00A9226B" w:rsidRPr="0084129A" w:rsidRDefault="00A9226B" w:rsidP="00A9226B">
            <w:pPr>
              <w:spacing w:before="120" w:after="120" w:line="276" w:lineRule="auto"/>
              <w:rPr>
                <w:rFonts w:eastAsia="Calibri" w:cstheme="minorHAnsi"/>
                <w:b/>
                <w:sz w:val="24"/>
                <w:szCs w:val="24"/>
              </w:rPr>
            </w:pPr>
            <w:r w:rsidRPr="0084129A">
              <w:rPr>
                <w:rFonts w:eastAsia="Calibri" w:cstheme="minorHAnsi"/>
                <w:b/>
                <w:sz w:val="28"/>
                <w:szCs w:val="28"/>
              </w:rPr>
              <w:t>DATE:</w:t>
            </w:r>
            <w:r w:rsidRPr="0084129A">
              <w:rPr>
                <w:rFonts w:eastAsia="Calibri" w:cstheme="minorHAnsi"/>
                <w:b/>
                <w:sz w:val="28"/>
                <w:szCs w:val="28"/>
              </w:rPr>
              <w:tab/>
            </w:r>
            <w:r>
              <w:rPr>
                <w:rFonts w:eastAsia="Calibri" w:cstheme="minorHAnsi"/>
                <w:b/>
                <w:sz w:val="28"/>
                <w:szCs w:val="28"/>
              </w:rPr>
              <w:t xml:space="preserve"> 25</w:t>
            </w:r>
            <w:r w:rsidRPr="00D9648B">
              <w:rPr>
                <w:rFonts w:eastAsia="Calibri" w:cstheme="minorHAnsi"/>
                <w:b/>
                <w:sz w:val="28"/>
                <w:szCs w:val="28"/>
                <w:vertAlign w:val="superscript"/>
              </w:rPr>
              <w:t>th</w:t>
            </w:r>
            <w:r>
              <w:rPr>
                <w:rFonts w:eastAsia="Calibri" w:cstheme="minorHAnsi"/>
                <w:b/>
                <w:sz w:val="28"/>
                <w:szCs w:val="28"/>
              </w:rPr>
              <w:t xml:space="preserve"> April </w:t>
            </w:r>
            <w:r w:rsidRPr="0084129A">
              <w:rPr>
                <w:rFonts w:eastAsia="Calibri" w:cstheme="minorHAnsi"/>
                <w:b/>
                <w:sz w:val="28"/>
                <w:szCs w:val="28"/>
              </w:rPr>
              <w:t>202</w:t>
            </w:r>
            <w:r>
              <w:rPr>
                <w:rFonts w:eastAsia="Calibri" w:cstheme="minorHAnsi"/>
                <w:b/>
                <w:sz w:val="28"/>
                <w:szCs w:val="28"/>
              </w:rPr>
              <w:t>4</w:t>
            </w:r>
            <w:r w:rsidRPr="0084129A">
              <w:rPr>
                <w:rFonts w:eastAsia="Calibri" w:cstheme="minorHAnsi"/>
                <w:b/>
                <w:sz w:val="28"/>
                <w:szCs w:val="28"/>
              </w:rPr>
              <w:t xml:space="preserve"> </w:t>
            </w:r>
          </w:p>
        </w:tc>
      </w:tr>
    </w:tbl>
    <w:p w14:paraId="3AAD9EE3" w14:textId="7EB1F932" w:rsidR="00652D74" w:rsidRPr="0084129A" w:rsidRDefault="00652D74" w:rsidP="00952023">
      <w:pPr>
        <w:spacing w:after="0" w:line="240" w:lineRule="auto"/>
        <w:rPr>
          <w:rFonts w:eastAsia="Times New Roman" w:cstheme="minorHAnsi"/>
          <w:b/>
          <w:sz w:val="24"/>
          <w:szCs w:val="24"/>
        </w:rPr>
      </w:pPr>
    </w:p>
    <w:p w14:paraId="0CB1E429" w14:textId="1F8AA913" w:rsidR="0084129A" w:rsidRPr="0084129A" w:rsidRDefault="0084129A" w:rsidP="00952023">
      <w:pPr>
        <w:spacing w:after="0" w:line="240" w:lineRule="auto"/>
        <w:rPr>
          <w:rFonts w:eastAsia="Times New Roman" w:cstheme="minorHAnsi"/>
          <w:b/>
          <w:sz w:val="24"/>
          <w:szCs w:val="24"/>
        </w:rPr>
      </w:pPr>
    </w:p>
    <w:p w14:paraId="25850FE0" w14:textId="7CBED345" w:rsidR="0084129A" w:rsidRPr="0084129A" w:rsidRDefault="0084129A" w:rsidP="00952023">
      <w:pPr>
        <w:spacing w:after="0" w:line="240" w:lineRule="auto"/>
        <w:rPr>
          <w:rFonts w:eastAsia="Times New Roman" w:cstheme="minorHAnsi"/>
          <w:b/>
          <w:sz w:val="24"/>
          <w:szCs w:val="24"/>
        </w:rPr>
      </w:pPr>
    </w:p>
    <w:p w14:paraId="3FBC0889" w14:textId="2BA03D06" w:rsidR="0084129A" w:rsidRPr="0084129A" w:rsidRDefault="0084129A" w:rsidP="00952023">
      <w:pPr>
        <w:spacing w:after="0" w:line="240" w:lineRule="auto"/>
        <w:rPr>
          <w:rFonts w:eastAsia="Times New Roman" w:cstheme="minorHAnsi"/>
          <w:b/>
          <w:sz w:val="24"/>
          <w:szCs w:val="24"/>
        </w:rPr>
      </w:pPr>
    </w:p>
    <w:p w14:paraId="3D51CD12" w14:textId="7E0E6558" w:rsidR="0084129A" w:rsidRPr="0084129A" w:rsidRDefault="0084129A" w:rsidP="00952023">
      <w:pPr>
        <w:spacing w:after="0" w:line="240" w:lineRule="auto"/>
        <w:rPr>
          <w:rFonts w:eastAsia="Times New Roman" w:cstheme="minorHAnsi"/>
          <w:b/>
          <w:sz w:val="24"/>
          <w:szCs w:val="24"/>
        </w:rPr>
      </w:pPr>
    </w:p>
    <w:p w14:paraId="0952CFCB" w14:textId="48FA44BC" w:rsidR="0084129A" w:rsidRPr="0084129A" w:rsidRDefault="0084129A" w:rsidP="00952023">
      <w:pPr>
        <w:spacing w:after="0" w:line="240" w:lineRule="auto"/>
        <w:rPr>
          <w:rFonts w:eastAsia="Times New Roman" w:cstheme="minorHAnsi"/>
          <w:b/>
          <w:sz w:val="24"/>
          <w:szCs w:val="24"/>
        </w:rPr>
      </w:pPr>
    </w:p>
    <w:p w14:paraId="31B5486D" w14:textId="77777777" w:rsidR="00AA28D0" w:rsidRDefault="00AA28D0" w:rsidP="00952023">
      <w:pPr>
        <w:spacing w:after="0" w:line="240" w:lineRule="auto"/>
        <w:rPr>
          <w:rFonts w:eastAsia="Times New Roman" w:cstheme="minorHAnsi"/>
          <w:b/>
          <w:sz w:val="24"/>
          <w:szCs w:val="24"/>
        </w:rPr>
      </w:pPr>
      <w:r w:rsidRPr="0084129A">
        <w:rPr>
          <w:rFonts w:eastAsia="Times New Roman" w:cstheme="minorHAnsi"/>
          <w:b/>
          <w:sz w:val="24"/>
          <w:szCs w:val="24"/>
        </w:rPr>
        <w:t>1.</w:t>
      </w:r>
      <w:r w:rsidRPr="0084129A">
        <w:rPr>
          <w:rFonts w:eastAsia="Times New Roman" w:cstheme="minorHAnsi"/>
          <w:b/>
          <w:sz w:val="24"/>
          <w:szCs w:val="24"/>
        </w:rPr>
        <w:tab/>
        <w:t>PURPOSE</w:t>
      </w:r>
      <w:r w:rsidR="00A45271" w:rsidRPr="0084129A">
        <w:rPr>
          <w:rFonts w:eastAsia="Times New Roman" w:cstheme="minorHAnsi"/>
          <w:b/>
          <w:sz w:val="24"/>
          <w:szCs w:val="24"/>
        </w:rPr>
        <w:t xml:space="preserve"> </w:t>
      </w:r>
    </w:p>
    <w:p w14:paraId="469559B9" w14:textId="77777777" w:rsidR="002605A6" w:rsidRPr="0084129A" w:rsidRDefault="002605A6" w:rsidP="00952023">
      <w:pPr>
        <w:spacing w:after="0" w:line="240" w:lineRule="auto"/>
        <w:rPr>
          <w:rFonts w:eastAsia="Times New Roman" w:cstheme="minorHAnsi"/>
          <w:b/>
          <w:sz w:val="24"/>
          <w:szCs w:val="24"/>
        </w:rPr>
      </w:pPr>
    </w:p>
    <w:p w14:paraId="4F5A1CB7" w14:textId="7E62D245" w:rsidR="004E39A7" w:rsidRPr="004E39A7" w:rsidRDefault="00A00947" w:rsidP="00246F90">
      <w:pPr>
        <w:pStyle w:val="ListParagraph"/>
        <w:numPr>
          <w:ilvl w:val="1"/>
          <w:numId w:val="3"/>
        </w:numPr>
        <w:spacing w:after="0" w:line="240" w:lineRule="auto"/>
        <w:rPr>
          <w:rFonts w:eastAsia="Times New Roman" w:cstheme="minorHAnsi"/>
          <w:sz w:val="24"/>
          <w:szCs w:val="24"/>
        </w:rPr>
      </w:pPr>
      <w:r w:rsidRPr="00127B10">
        <w:rPr>
          <w:rFonts w:eastAsia="Times New Roman" w:cstheme="minorHAnsi"/>
          <w:sz w:val="24"/>
          <w:szCs w:val="24"/>
        </w:rPr>
        <w:t>T</w:t>
      </w:r>
      <w:r w:rsidR="00A82DB8">
        <w:rPr>
          <w:rFonts w:eastAsia="Times New Roman" w:cstheme="minorHAnsi"/>
          <w:sz w:val="24"/>
          <w:szCs w:val="24"/>
        </w:rPr>
        <w:t xml:space="preserve">o provide the </w:t>
      </w:r>
      <w:r w:rsidRPr="00127B10">
        <w:rPr>
          <w:rFonts w:eastAsia="Times New Roman" w:cstheme="minorHAnsi"/>
          <w:sz w:val="24"/>
          <w:szCs w:val="24"/>
        </w:rPr>
        <w:t xml:space="preserve">PSB </w:t>
      </w:r>
      <w:r w:rsidR="00AC6E2B" w:rsidRPr="00127B10">
        <w:rPr>
          <w:rFonts w:eastAsia="Times New Roman" w:cstheme="minorHAnsi"/>
          <w:sz w:val="24"/>
          <w:szCs w:val="24"/>
        </w:rPr>
        <w:t xml:space="preserve">with </w:t>
      </w:r>
      <w:r w:rsidR="007104D0">
        <w:rPr>
          <w:rFonts w:eastAsia="Times New Roman" w:cstheme="minorHAnsi"/>
          <w:sz w:val="24"/>
          <w:szCs w:val="24"/>
        </w:rPr>
        <w:t>options on</w:t>
      </w:r>
      <w:r w:rsidR="00AC42F2">
        <w:rPr>
          <w:rFonts w:eastAsia="Times New Roman" w:cstheme="minorHAnsi"/>
          <w:sz w:val="24"/>
          <w:szCs w:val="24"/>
        </w:rPr>
        <w:t xml:space="preserve"> </w:t>
      </w:r>
      <w:r w:rsidR="007104D0">
        <w:rPr>
          <w:rFonts w:eastAsia="Times New Roman" w:cstheme="minorHAnsi"/>
          <w:sz w:val="24"/>
          <w:szCs w:val="24"/>
        </w:rPr>
        <w:t xml:space="preserve">outcomes and </w:t>
      </w:r>
      <w:r w:rsidR="004132B0" w:rsidRPr="00127B10">
        <w:rPr>
          <w:rFonts w:eastAsia="Times New Roman" w:cstheme="minorHAnsi"/>
          <w:sz w:val="24"/>
          <w:szCs w:val="24"/>
        </w:rPr>
        <w:t xml:space="preserve">proposed </w:t>
      </w:r>
      <w:r w:rsidR="004C7B59">
        <w:rPr>
          <w:rFonts w:eastAsia="Times New Roman" w:cstheme="minorHAnsi"/>
          <w:sz w:val="24"/>
          <w:szCs w:val="24"/>
        </w:rPr>
        <w:t>development of integrated</w:t>
      </w:r>
      <w:r w:rsidR="007104D0">
        <w:rPr>
          <w:rFonts w:eastAsia="Times New Roman" w:cstheme="minorHAnsi"/>
          <w:sz w:val="24"/>
          <w:szCs w:val="24"/>
        </w:rPr>
        <w:t xml:space="preserve"> </w:t>
      </w:r>
      <w:r w:rsidR="004132B0" w:rsidRPr="00127B10">
        <w:rPr>
          <w:rFonts w:eastAsia="Times New Roman" w:cstheme="minorHAnsi"/>
          <w:sz w:val="24"/>
          <w:szCs w:val="24"/>
        </w:rPr>
        <w:t>deliver</w:t>
      </w:r>
      <w:r w:rsidR="005C6A1B" w:rsidRPr="00127B10">
        <w:rPr>
          <w:rFonts w:eastAsia="Times New Roman" w:cstheme="minorHAnsi"/>
          <w:sz w:val="24"/>
          <w:szCs w:val="24"/>
        </w:rPr>
        <w:t>y plan</w:t>
      </w:r>
      <w:r w:rsidR="007104D0">
        <w:rPr>
          <w:rFonts w:eastAsia="Times New Roman" w:cstheme="minorHAnsi"/>
          <w:sz w:val="24"/>
          <w:szCs w:val="24"/>
        </w:rPr>
        <w:t>s</w:t>
      </w:r>
      <w:r w:rsidR="005C6A1B" w:rsidRPr="00127B10">
        <w:rPr>
          <w:rFonts w:eastAsia="Times New Roman" w:cstheme="minorHAnsi"/>
          <w:sz w:val="24"/>
          <w:szCs w:val="24"/>
        </w:rPr>
        <w:t xml:space="preserve"> fo</w:t>
      </w:r>
      <w:r w:rsidR="00440F95">
        <w:rPr>
          <w:rFonts w:eastAsia="Times New Roman" w:cstheme="minorHAnsi"/>
          <w:sz w:val="24"/>
          <w:szCs w:val="24"/>
        </w:rPr>
        <w:t>r its identified</w:t>
      </w:r>
      <w:r w:rsidR="005C6A1B">
        <w:t xml:space="preserve"> </w:t>
      </w:r>
      <w:r w:rsidR="004132B0" w:rsidRPr="00127B10">
        <w:rPr>
          <w:rFonts w:eastAsia="Times New Roman" w:cstheme="minorHAnsi"/>
          <w:sz w:val="24"/>
          <w:szCs w:val="24"/>
        </w:rPr>
        <w:t>four at scale areas of focu</w:t>
      </w:r>
      <w:r w:rsidR="00127B10" w:rsidRPr="00127B10">
        <w:rPr>
          <w:rFonts w:eastAsia="Times New Roman" w:cstheme="minorHAnsi"/>
          <w:sz w:val="24"/>
          <w:szCs w:val="24"/>
        </w:rPr>
        <w:t>s</w:t>
      </w:r>
      <w:r w:rsidR="00CA3E67">
        <w:rPr>
          <w:rFonts w:eastAsia="Times New Roman" w:cstheme="minorHAnsi"/>
          <w:sz w:val="24"/>
          <w:szCs w:val="24"/>
        </w:rPr>
        <w:t xml:space="preserve"> to improve well-being in Gwent</w:t>
      </w:r>
      <w:r w:rsidR="00A43582">
        <w:rPr>
          <w:rFonts w:eastAsia="Times New Roman" w:cstheme="minorHAnsi"/>
          <w:sz w:val="24"/>
          <w:szCs w:val="24"/>
        </w:rPr>
        <w:t>. The four areas of focus are</w:t>
      </w:r>
      <w:r w:rsidR="00C12AAE">
        <w:rPr>
          <w:rFonts w:eastAsia="Times New Roman" w:cstheme="minorHAnsi"/>
          <w:sz w:val="24"/>
          <w:szCs w:val="24"/>
        </w:rPr>
        <w:t>:</w:t>
      </w:r>
      <w:r w:rsidR="004E39A7" w:rsidRPr="004E39A7">
        <w:t xml:space="preserve"> </w:t>
      </w:r>
    </w:p>
    <w:p w14:paraId="02D0EE94" w14:textId="3E0E8D93" w:rsidR="004E39A7" w:rsidRPr="004E39A7" w:rsidRDefault="004E39A7" w:rsidP="00246F90">
      <w:pPr>
        <w:pStyle w:val="ListParagraph"/>
        <w:numPr>
          <w:ilvl w:val="0"/>
          <w:numId w:val="7"/>
        </w:numPr>
        <w:spacing w:after="0" w:line="240" w:lineRule="auto"/>
        <w:rPr>
          <w:rFonts w:eastAsia="Times New Roman" w:cstheme="minorHAnsi"/>
          <w:sz w:val="24"/>
          <w:szCs w:val="24"/>
        </w:rPr>
      </w:pPr>
      <w:r w:rsidRPr="004E39A7">
        <w:rPr>
          <w:rFonts w:eastAsia="Times New Roman" w:cstheme="minorHAnsi"/>
          <w:sz w:val="24"/>
          <w:szCs w:val="24"/>
        </w:rPr>
        <w:t>That every child has the best start in life</w:t>
      </w:r>
    </w:p>
    <w:p w14:paraId="245D4E7A" w14:textId="4F0C69ED" w:rsidR="004E39A7" w:rsidRPr="004E39A7" w:rsidRDefault="004E39A7" w:rsidP="00246F90">
      <w:pPr>
        <w:pStyle w:val="ListParagraph"/>
        <w:numPr>
          <w:ilvl w:val="0"/>
          <w:numId w:val="7"/>
        </w:numPr>
        <w:spacing w:after="0" w:line="240" w:lineRule="auto"/>
        <w:rPr>
          <w:rFonts w:eastAsia="Times New Roman" w:cstheme="minorHAnsi"/>
          <w:sz w:val="24"/>
          <w:szCs w:val="24"/>
        </w:rPr>
      </w:pPr>
      <w:r w:rsidRPr="004E39A7">
        <w:rPr>
          <w:rFonts w:eastAsia="Times New Roman" w:cstheme="minorHAnsi"/>
          <w:sz w:val="24"/>
          <w:szCs w:val="24"/>
        </w:rPr>
        <w:t>That everyone lives in a place they feel safe</w:t>
      </w:r>
    </w:p>
    <w:p w14:paraId="2A986655" w14:textId="2A4893F2" w:rsidR="004E39A7" w:rsidRPr="004E39A7" w:rsidRDefault="004E39A7" w:rsidP="00246F90">
      <w:pPr>
        <w:pStyle w:val="ListParagraph"/>
        <w:numPr>
          <w:ilvl w:val="0"/>
          <w:numId w:val="7"/>
        </w:numPr>
        <w:spacing w:after="0" w:line="240" w:lineRule="auto"/>
        <w:rPr>
          <w:rFonts w:eastAsia="Times New Roman" w:cstheme="minorHAnsi"/>
          <w:sz w:val="24"/>
          <w:szCs w:val="24"/>
        </w:rPr>
      </w:pPr>
      <w:r w:rsidRPr="004E39A7">
        <w:rPr>
          <w:rFonts w:eastAsia="Times New Roman" w:cstheme="minorHAnsi"/>
          <w:sz w:val="24"/>
          <w:szCs w:val="24"/>
        </w:rPr>
        <w:t xml:space="preserve">That everyone has the same economic chances </w:t>
      </w:r>
    </w:p>
    <w:p w14:paraId="5041ECE9" w14:textId="6472C0F4" w:rsidR="00C51C79" w:rsidRPr="004C35F8" w:rsidRDefault="004E39A7" w:rsidP="00246F90">
      <w:pPr>
        <w:pStyle w:val="ListParagraph"/>
        <w:numPr>
          <w:ilvl w:val="0"/>
          <w:numId w:val="7"/>
        </w:numPr>
        <w:spacing w:after="0" w:line="240" w:lineRule="auto"/>
        <w:rPr>
          <w:rFonts w:eastAsia="Times New Roman" w:cstheme="minorHAnsi"/>
          <w:b/>
          <w:sz w:val="24"/>
          <w:szCs w:val="24"/>
        </w:rPr>
      </w:pPr>
      <w:r>
        <w:rPr>
          <w:rFonts w:eastAsia="Times New Roman" w:cstheme="minorHAnsi"/>
          <w:sz w:val="24"/>
          <w:szCs w:val="24"/>
        </w:rPr>
        <w:t>T</w:t>
      </w:r>
      <w:r w:rsidRPr="004E39A7">
        <w:rPr>
          <w:rFonts w:eastAsia="Times New Roman" w:cstheme="minorHAnsi"/>
          <w:sz w:val="24"/>
          <w:szCs w:val="24"/>
        </w:rPr>
        <w:t>hat everyone lives in a climate-ready community where their environment is valued and protected</w:t>
      </w:r>
    </w:p>
    <w:p w14:paraId="520AA1AB" w14:textId="77777777" w:rsidR="004C35F8" w:rsidRDefault="004C35F8" w:rsidP="004C35F8">
      <w:pPr>
        <w:pStyle w:val="ListParagraph"/>
        <w:spacing w:after="0" w:line="240" w:lineRule="auto"/>
        <w:ind w:left="735"/>
        <w:rPr>
          <w:rFonts w:eastAsia="Times New Roman" w:cstheme="minorHAnsi"/>
          <w:sz w:val="24"/>
          <w:szCs w:val="24"/>
        </w:rPr>
      </w:pPr>
    </w:p>
    <w:p w14:paraId="1B8094DB" w14:textId="7ED3F156" w:rsidR="004C35F8" w:rsidRPr="006A629F" w:rsidRDefault="004C35F8" w:rsidP="004C35F8">
      <w:pPr>
        <w:spacing w:after="0" w:line="240" w:lineRule="auto"/>
        <w:ind w:left="720" w:hanging="720"/>
        <w:rPr>
          <w:rFonts w:eastAsia="Times New Roman" w:cstheme="minorHAnsi"/>
          <w:b/>
          <w:sz w:val="24"/>
          <w:szCs w:val="24"/>
        </w:rPr>
      </w:pPr>
      <w:r>
        <w:rPr>
          <w:rFonts w:eastAsia="Times New Roman" w:cstheme="minorHAnsi"/>
          <w:b/>
          <w:sz w:val="24"/>
          <w:szCs w:val="24"/>
        </w:rPr>
        <w:t>2</w:t>
      </w:r>
      <w:r w:rsidRPr="006A629F">
        <w:rPr>
          <w:rFonts w:eastAsia="Times New Roman" w:cstheme="minorHAnsi"/>
          <w:b/>
          <w:sz w:val="24"/>
          <w:szCs w:val="24"/>
        </w:rPr>
        <w:t>.</w:t>
      </w:r>
      <w:r w:rsidRPr="006A629F">
        <w:rPr>
          <w:rFonts w:eastAsia="Times New Roman" w:cstheme="minorHAnsi"/>
          <w:b/>
          <w:sz w:val="24"/>
          <w:szCs w:val="24"/>
        </w:rPr>
        <w:tab/>
        <w:t>RECOMMENDATIONS</w:t>
      </w:r>
    </w:p>
    <w:p w14:paraId="23B5B8A1" w14:textId="77777777" w:rsidR="00CA6B88" w:rsidRDefault="00CA6B88" w:rsidP="004C35F8">
      <w:pPr>
        <w:rPr>
          <w:rFonts w:eastAsia="Times New Roman" w:cstheme="minorHAnsi"/>
          <w:bCs/>
          <w:sz w:val="24"/>
          <w:szCs w:val="24"/>
        </w:rPr>
      </w:pPr>
    </w:p>
    <w:p w14:paraId="3128666E" w14:textId="1D7EC76F" w:rsidR="004C35F8" w:rsidRDefault="004C35F8" w:rsidP="004C35F8">
      <w:pPr>
        <w:rPr>
          <w:rFonts w:ascii="Calibri" w:eastAsia="Calibri" w:hAnsi="Calibri" w:cs="Calibri"/>
          <w:sz w:val="24"/>
          <w:szCs w:val="24"/>
        </w:rPr>
      </w:pPr>
      <w:r>
        <w:rPr>
          <w:rFonts w:eastAsia="Times New Roman" w:cstheme="minorHAnsi"/>
          <w:bCs/>
          <w:sz w:val="24"/>
          <w:szCs w:val="24"/>
        </w:rPr>
        <w:t>T</w:t>
      </w:r>
      <w:r w:rsidRPr="006A629F">
        <w:rPr>
          <w:rFonts w:ascii="Calibri" w:eastAsia="Calibri" w:hAnsi="Calibri" w:cs="Calibri"/>
          <w:sz w:val="24"/>
          <w:szCs w:val="24"/>
        </w:rPr>
        <w:t xml:space="preserve">he PSB is asked to: </w:t>
      </w:r>
    </w:p>
    <w:p w14:paraId="75EE50D7" w14:textId="44DDFC18" w:rsidR="004C35F8" w:rsidRDefault="00806D42" w:rsidP="00806D42">
      <w:pPr>
        <w:ind w:left="720" w:hanging="720"/>
      </w:pPr>
      <w:r>
        <w:rPr>
          <w:rFonts w:ascii="Calibri" w:eastAsia="Calibri" w:hAnsi="Calibri" w:cs="Calibri"/>
          <w:sz w:val="24"/>
          <w:szCs w:val="24"/>
        </w:rPr>
        <w:t xml:space="preserve">2.1 </w:t>
      </w:r>
      <w:r>
        <w:rPr>
          <w:rFonts w:ascii="Calibri" w:eastAsia="Calibri" w:hAnsi="Calibri" w:cs="Calibri"/>
          <w:sz w:val="24"/>
          <w:szCs w:val="24"/>
        </w:rPr>
        <w:tab/>
      </w:r>
      <w:r w:rsidR="004C35F8" w:rsidRPr="0027632B">
        <w:rPr>
          <w:rFonts w:ascii="Calibri" w:eastAsia="Calibri" w:hAnsi="Calibri" w:cs="Calibri"/>
          <w:sz w:val="24"/>
          <w:szCs w:val="24"/>
        </w:rPr>
        <w:t>Agree the outcomes</w:t>
      </w:r>
      <w:r w:rsidR="005E40CB">
        <w:rPr>
          <w:rFonts w:ascii="Calibri" w:eastAsia="Calibri" w:hAnsi="Calibri" w:cs="Calibri"/>
          <w:sz w:val="24"/>
          <w:szCs w:val="24"/>
        </w:rPr>
        <w:t xml:space="preserve"> and related activity </w:t>
      </w:r>
      <w:r w:rsidR="004C35F8" w:rsidRPr="0027632B">
        <w:rPr>
          <w:rFonts w:ascii="Calibri" w:eastAsia="Calibri" w:hAnsi="Calibri" w:cs="Calibri"/>
          <w:sz w:val="24"/>
          <w:szCs w:val="24"/>
        </w:rPr>
        <w:t>it wants to focus its delivery on at a regional scale to meet its ambitions in the areas of focus</w:t>
      </w:r>
      <w:r w:rsidR="003155BD">
        <w:rPr>
          <w:rFonts w:ascii="Calibri" w:eastAsia="Calibri" w:hAnsi="Calibri" w:cs="Calibri"/>
          <w:sz w:val="24"/>
          <w:szCs w:val="24"/>
        </w:rPr>
        <w:t xml:space="preserve">, including the sequencing </w:t>
      </w:r>
      <w:r w:rsidR="00BF40DD">
        <w:rPr>
          <w:rFonts w:ascii="Calibri" w:eastAsia="Calibri" w:hAnsi="Calibri" w:cs="Calibri"/>
          <w:sz w:val="24"/>
          <w:szCs w:val="24"/>
        </w:rPr>
        <w:t>of the outcomes</w:t>
      </w:r>
      <w:r w:rsidR="004C35F8" w:rsidRPr="0027632B">
        <w:rPr>
          <w:rFonts w:ascii="Calibri" w:eastAsia="Calibri" w:hAnsi="Calibri" w:cs="Calibri"/>
          <w:sz w:val="24"/>
          <w:szCs w:val="24"/>
        </w:rPr>
        <w:t>.</w:t>
      </w:r>
      <w:r w:rsidR="004C35F8" w:rsidRPr="00B31B6D">
        <w:t xml:space="preserve"> </w:t>
      </w:r>
    </w:p>
    <w:p w14:paraId="3B20209C" w14:textId="5C88122B" w:rsidR="000601BA" w:rsidRPr="0027632B" w:rsidRDefault="00806D42" w:rsidP="00806D42">
      <w:pPr>
        <w:ind w:left="720" w:hanging="720"/>
        <w:rPr>
          <w:rFonts w:ascii="Calibri" w:eastAsia="Calibri" w:hAnsi="Calibri" w:cs="Calibri"/>
          <w:sz w:val="24"/>
          <w:szCs w:val="24"/>
        </w:rPr>
      </w:pPr>
      <w:r>
        <w:rPr>
          <w:rFonts w:ascii="Calibri" w:hAnsi="Calibri" w:cs="Calibri"/>
          <w:sz w:val="24"/>
          <w:szCs w:val="24"/>
        </w:rPr>
        <w:t>2.2</w:t>
      </w:r>
      <w:r>
        <w:rPr>
          <w:rFonts w:ascii="Calibri" w:hAnsi="Calibri" w:cs="Calibri"/>
          <w:sz w:val="24"/>
          <w:szCs w:val="24"/>
        </w:rPr>
        <w:tab/>
      </w:r>
      <w:r w:rsidR="00697E27" w:rsidRPr="0027632B">
        <w:rPr>
          <w:rFonts w:ascii="Calibri" w:hAnsi="Calibri" w:cs="Calibri"/>
          <w:sz w:val="24"/>
          <w:szCs w:val="24"/>
        </w:rPr>
        <w:t>Ag</w:t>
      </w:r>
      <w:r w:rsidR="004C35F8" w:rsidRPr="0027632B">
        <w:rPr>
          <w:rFonts w:ascii="Calibri" w:eastAsia="Calibri" w:hAnsi="Calibri" w:cs="Calibri"/>
          <w:sz w:val="24"/>
          <w:szCs w:val="24"/>
        </w:rPr>
        <w:t>ree that a leadership group</w:t>
      </w:r>
      <w:r w:rsidR="00665842" w:rsidRPr="0027632B">
        <w:rPr>
          <w:rFonts w:ascii="Calibri" w:eastAsia="Calibri" w:hAnsi="Calibri" w:cs="Calibri"/>
          <w:sz w:val="24"/>
          <w:szCs w:val="24"/>
        </w:rPr>
        <w:t>,</w:t>
      </w:r>
      <w:r w:rsidR="004C35F8" w:rsidRPr="0027632B">
        <w:rPr>
          <w:rFonts w:ascii="Calibri" w:eastAsia="Calibri" w:hAnsi="Calibri" w:cs="Calibri"/>
          <w:sz w:val="24"/>
          <w:szCs w:val="24"/>
        </w:rPr>
        <w:t xml:space="preserve"> or groups</w:t>
      </w:r>
      <w:r w:rsidR="00665842" w:rsidRPr="0027632B">
        <w:rPr>
          <w:rFonts w:ascii="Calibri" w:eastAsia="Calibri" w:hAnsi="Calibri" w:cs="Calibri"/>
          <w:sz w:val="24"/>
          <w:szCs w:val="24"/>
        </w:rPr>
        <w:t>,</w:t>
      </w:r>
      <w:r w:rsidR="004C35F8" w:rsidRPr="0027632B">
        <w:rPr>
          <w:rFonts w:ascii="Calibri" w:eastAsia="Calibri" w:hAnsi="Calibri" w:cs="Calibri"/>
          <w:sz w:val="24"/>
          <w:szCs w:val="24"/>
        </w:rPr>
        <w:t xml:space="preserve"> are establishe</w:t>
      </w:r>
      <w:r w:rsidR="00C00215" w:rsidRPr="0027632B">
        <w:rPr>
          <w:rFonts w:ascii="Calibri" w:eastAsia="Calibri" w:hAnsi="Calibri" w:cs="Calibri"/>
          <w:sz w:val="24"/>
          <w:szCs w:val="24"/>
        </w:rPr>
        <w:t>d and identify a senior lead responsibility holder from a PSB partner organisation</w:t>
      </w:r>
      <w:r w:rsidR="004C35F8" w:rsidRPr="0027632B">
        <w:rPr>
          <w:rFonts w:ascii="Calibri" w:eastAsia="Calibri" w:hAnsi="Calibri" w:cs="Calibri"/>
          <w:sz w:val="24"/>
          <w:szCs w:val="24"/>
        </w:rPr>
        <w:t xml:space="preserve"> </w:t>
      </w:r>
      <w:r w:rsidR="00C00215" w:rsidRPr="0027632B">
        <w:rPr>
          <w:rFonts w:ascii="Calibri" w:eastAsia="Calibri" w:hAnsi="Calibri" w:cs="Calibri"/>
          <w:sz w:val="24"/>
          <w:szCs w:val="24"/>
        </w:rPr>
        <w:t>for each</w:t>
      </w:r>
      <w:r w:rsidR="000601BA" w:rsidRPr="0027632B">
        <w:rPr>
          <w:rFonts w:ascii="Calibri" w:eastAsia="Calibri" w:hAnsi="Calibri" w:cs="Calibri"/>
          <w:sz w:val="24"/>
          <w:szCs w:val="24"/>
        </w:rPr>
        <w:t>. These will have</w:t>
      </w:r>
      <w:r w:rsidR="004C35F8" w:rsidRPr="0027632B">
        <w:rPr>
          <w:rFonts w:ascii="Calibri" w:eastAsia="Calibri" w:hAnsi="Calibri" w:cs="Calibri"/>
          <w:sz w:val="24"/>
          <w:szCs w:val="24"/>
        </w:rPr>
        <w:t xml:space="preserve"> responsibility for ensuring delivery</w:t>
      </w:r>
      <w:r w:rsidR="00F03669" w:rsidRPr="0027632B">
        <w:rPr>
          <w:rFonts w:ascii="Calibri" w:eastAsia="Calibri" w:hAnsi="Calibri" w:cs="Calibri"/>
          <w:sz w:val="24"/>
          <w:szCs w:val="24"/>
        </w:rPr>
        <w:t xml:space="preserve"> </w:t>
      </w:r>
      <w:r w:rsidR="008A19D2" w:rsidRPr="0027632B">
        <w:rPr>
          <w:rFonts w:ascii="Calibri" w:eastAsia="Calibri" w:hAnsi="Calibri" w:cs="Calibri"/>
          <w:sz w:val="24"/>
          <w:szCs w:val="24"/>
        </w:rPr>
        <w:t xml:space="preserve">of </w:t>
      </w:r>
      <w:r w:rsidR="00F03669" w:rsidRPr="0027632B">
        <w:rPr>
          <w:rFonts w:ascii="Calibri" w:eastAsia="Calibri" w:hAnsi="Calibri" w:cs="Calibri"/>
          <w:sz w:val="24"/>
          <w:szCs w:val="24"/>
        </w:rPr>
        <w:t>the outcome</w:t>
      </w:r>
      <w:r w:rsidR="008A19D2" w:rsidRPr="0027632B">
        <w:rPr>
          <w:rFonts w:ascii="Calibri" w:eastAsia="Calibri" w:hAnsi="Calibri" w:cs="Calibri"/>
          <w:sz w:val="24"/>
          <w:szCs w:val="24"/>
        </w:rPr>
        <w:t>s</w:t>
      </w:r>
      <w:r w:rsidR="00F03669" w:rsidRPr="0027632B">
        <w:rPr>
          <w:rFonts w:ascii="Calibri" w:eastAsia="Calibri" w:hAnsi="Calibri" w:cs="Calibri"/>
          <w:sz w:val="24"/>
          <w:szCs w:val="24"/>
        </w:rPr>
        <w:t xml:space="preserve"> agreed</w:t>
      </w:r>
      <w:r w:rsidR="004C35F8" w:rsidRPr="0027632B">
        <w:rPr>
          <w:rFonts w:ascii="Calibri" w:eastAsia="Calibri" w:hAnsi="Calibri" w:cs="Calibri"/>
          <w:sz w:val="24"/>
          <w:szCs w:val="24"/>
        </w:rPr>
        <w:t xml:space="preserve"> is at the pace, scale and ambition the PSB requires. </w:t>
      </w:r>
    </w:p>
    <w:p w14:paraId="10C16842" w14:textId="3D02C0EE" w:rsidR="004C35F8" w:rsidRDefault="00806D42" w:rsidP="00225244">
      <w:pPr>
        <w:ind w:left="720" w:hanging="720"/>
        <w:rPr>
          <w:rFonts w:ascii="Calibri" w:eastAsia="Calibri" w:hAnsi="Calibri" w:cs="Calibri"/>
          <w:sz w:val="24"/>
          <w:szCs w:val="24"/>
        </w:rPr>
      </w:pPr>
      <w:r>
        <w:rPr>
          <w:rFonts w:ascii="Calibri" w:eastAsia="Calibri" w:hAnsi="Calibri" w:cs="Calibri"/>
          <w:sz w:val="24"/>
          <w:szCs w:val="24"/>
        </w:rPr>
        <w:t>2.3</w:t>
      </w:r>
      <w:r>
        <w:rPr>
          <w:rFonts w:ascii="Calibri" w:eastAsia="Calibri" w:hAnsi="Calibri" w:cs="Calibri"/>
          <w:sz w:val="24"/>
          <w:szCs w:val="24"/>
        </w:rPr>
        <w:tab/>
      </w:r>
      <w:r w:rsidR="000601BA" w:rsidRPr="0027632B">
        <w:rPr>
          <w:rFonts w:ascii="Calibri" w:eastAsia="Calibri" w:hAnsi="Calibri" w:cs="Calibri"/>
          <w:sz w:val="24"/>
          <w:szCs w:val="24"/>
        </w:rPr>
        <w:t>Agree t</w:t>
      </w:r>
      <w:r w:rsidR="004C35F8" w:rsidRPr="0027632B">
        <w:rPr>
          <w:rFonts w:ascii="Calibri" w:eastAsia="Calibri" w:hAnsi="Calibri" w:cs="Calibri"/>
          <w:sz w:val="24"/>
          <w:szCs w:val="24"/>
        </w:rPr>
        <w:t>hat the PSB subsequently requires a</w:t>
      </w:r>
      <w:r w:rsidR="00733934" w:rsidRPr="0027632B">
        <w:rPr>
          <w:rFonts w:ascii="Calibri" w:eastAsia="Calibri" w:hAnsi="Calibri" w:cs="Calibri"/>
          <w:sz w:val="24"/>
          <w:szCs w:val="24"/>
        </w:rPr>
        <w:t xml:space="preserve"> high</w:t>
      </w:r>
      <w:r w:rsidR="00280B4C" w:rsidRPr="0027632B">
        <w:rPr>
          <w:rFonts w:ascii="Calibri" w:eastAsia="Calibri" w:hAnsi="Calibri" w:cs="Calibri"/>
          <w:sz w:val="24"/>
          <w:szCs w:val="24"/>
        </w:rPr>
        <w:t>light</w:t>
      </w:r>
      <w:r w:rsidR="004C35F8" w:rsidRPr="0027632B">
        <w:rPr>
          <w:rFonts w:ascii="Calibri" w:eastAsia="Calibri" w:hAnsi="Calibri" w:cs="Calibri"/>
          <w:sz w:val="24"/>
          <w:szCs w:val="24"/>
        </w:rPr>
        <w:t xml:space="preserve"> report</w:t>
      </w:r>
      <w:r w:rsidR="00F03669" w:rsidRPr="0027632B">
        <w:rPr>
          <w:rFonts w:ascii="Calibri" w:eastAsia="Calibri" w:hAnsi="Calibri" w:cs="Calibri"/>
          <w:sz w:val="24"/>
          <w:szCs w:val="24"/>
        </w:rPr>
        <w:t xml:space="preserve"> from the leadership group</w:t>
      </w:r>
      <w:r w:rsidR="002049F3" w:rsidRPr="0027632B">
        <w:rPr>
          <w:rFonts w:ascii="Calibri" w:eastAsia="Calibri" w:hAnsi="Calibri" w:cs="Calibri"/>
          <w:sz w:val="24"/>
          <w:szCs w:val="24"/>
        </w:rPr>
        <w:t>(</w:t>
      </w:r>
      <w:r w:rsidR="008A19D2" w:rsidRPr="0027632B">
        <w:rPr>
          <w:rFonts w:ascii="Calibri" w:eastAsia="Calibri" w:hAnsi="Calibri" w:cs="Calibri"/>
          <w:sz w:val="24"/>
          <w:szCs w:val="24"/>
        </w:rPr>
        <w:t>s</w:t>
      </w:r>
      <w:r w:rsidR="002049F3" w:rsidRPr="0027632B">
        <w:rPr>
          <w:rFonts w:ascii="Calibri" w:eastAsia="Calibri" w:hAnsi="Calibri" w:cs="Calibri"/>
          <w:sz w:val="24"/>
          <w:szCs w:val="24"/>
        </w:rPr>
        <w:t>)</w:t>
      </w:r>
      <w:r w:rsidR="004C35F8" w:rsidRPr="0027632B">
        <w:rPr>
          <w:rFonts w:ascii="Calibri" w:eastAsia="Calibri" w:hAnsi="Calibri" w:cs="Calibri"/>
          <w:sz w:val="24"/>
          <w:szCs w:val="24"/>
        </w:rPr>
        <w:t xml:space="preserve"> </w:t>
      </w:r>
      <w:r w:rsidR="00280B4C" w:rsidRPr="0027632B">
        <w:rPr>
          <w:rFonts w:ascii="Calibri" w:eastAsia="Calibri" w:hAnsi="Calibri" w:cs="Calibri"/>
          <w:sz w:val="24"/>
          <w:szCs w:val="24"/>
        </w:rPr>
        <w:t xml:space="preserve">on a bi-monthly basis to ensure </w:t>
      </w:r>
      <w:r w:rsidR="00F87CD7" w:rsidRPr="0027632B">
        <w:rPr>
          <w:rFonts w:ascii="Calibri" w:eastAsia="Calibri" w:hAnsi="Calibri" w:cs="Calibri"/>
          <w:sz w:val="24"/>
          <w:szCs w:val="24"/>
        </w:rPr>
        <w:t>progress is happening at pace.</w:t>
      </w:r>
    </w:p>
    <w:p w14:paraId="7C6951F7" w14:textId="2414F11A" w:rsidR="00C1142C" w:rsidRPr="00C1142C" w:rsidRDefault="00C1142C" w:rsidP="00225244">
      <w:pPr>
        <w:ind w:left="720" w:hanging="720"/>
        <w:rPr>
          <w:rFonts w:eastAsia="Times New Roman" w:cstheme="minorHAnsi"/>
          <w:b/>
          <w:sz w:val="24"/>
          <w:szCs w:val="24"/>
        </w:rPr>
      </w:pPr>
      <w:r>
        <w:rPr>
          <w:rFonts w:ascii="Calibri" w:eastAsia="Calibri" w:hAnsi="Calibri" w:cs="Calibri"/>
          <w:sz w:val="24"/>
          <w:szCs w:val="24"/>
        </w:rPr>
        <w:t xml:space="preserve">2.4 </w:t>
      </w:r>
      <w:r>
        <w:rPr>
          <w:rFonts w:ascii="Calibri" w:eastAsia="Calibri" w:hAnsi="Calibri" w:cs="Calibri"/>
          <w:sz w:val="24"/>
          <w:szCs w:val="24"/>
        </w:rPr>
        <w:tab/>
        <w:t xml:space="preserve">The Gwent Strategic Well-being Action Group </w:t>
      </w:r>
      <w:r w:rsidRPr="00C1142C">
        <w:rPr>
          <w:rFonts w:ascii="Calibri" w:eastAsia="Calibri" w:hAnsi="Calibri" w:cs="Calibri"/>
          <w:sz w:val="24"/>
          <w:szCs w:val="24"/>
        </w:rPr>
        <w:t>(</w:t>
      </w:r>
      <w:r w:rsidRPr="00C1142C">
        <w:rPr>
          <w:rFonts w:ascii="Calibri" w:hAnsi="Calibri" w:cs="Calibri"/>
          <w:sz w:val="24"/>
          <w:szCs w:val="24"/>
          <w:shd w:val="clear" w:color="auto" w:fill="FFFFFF"/>
        </w:rPr>
        <w:t xml:space="preserve">GSWAG) working group is reviewed </w:t>
      </w:r>
      <w:proofErr w:type="gramStart"/>
      <w:r w:rsidRPr="00C1142C">
        <w:rPr>
          <w:rFonts w:ascii="Calibri" w:hAnsi="Calibri" w:cs="Calibri"/>
          <w:sz w:val="24"/>
          <w:szCs w:val="24"/>
          <w:shd w:val="clear" w:color="auto" w:fill="FFFFFF"/>
        </w:rPr>
        <w:t>in light of</w:t>
      </w:r>
      <w:proofErr w:type="gramEnd"/>
      <w:r w:rsidRPr="00C1142C">
        <w:rPr>
          <w:rFonts w:ascii="Calibri" w:hAnsi="Calibri" w:cs="Calibri"/>
          <w:sz w:val="24"/>
          <w:szCs w:val="24"/>
          <w:shd w:val="clear" w:color="auto" w:fill="FFFFFF"/>
        </w:rPr>
        <w:t xml:space="preserve"> functional redesign at the regional level to deliver on PSB regional priorities</w:t>
      </w:r>
      <w:r>
        <w:rPr>
          <w:rFonts w:ascii="Calibri" w:hAnsi="Calibri" w:cs="Calibri"/>
          <w:sz w:val="24"/>
          <w:szCs w:val="24"/>
          <w:shd w:val="clear" w:color="auto" w:fill="FFFFFF"/>
        </w:rPr>
        <w:t>.</w:t>
      </w:r>
    </w:p>
    <w:p w14:paraId="331FF457" w14:textId="5A20F5CB" w:rsidR="00B05824" w:rsidRPr="006A629F" w:rsidRDefault="00536D5C" w:rsidP="00952023">
      <w:pPr>
        <w:spacing w:after="0" w:line="240" w:lineRule="auto"/>
        <w:ind w:left="720" w:hanging="720"/>
        <w:rPr>
          <w:rFonts w:eastAsia="Times New Roman" w:cstheme="minorHAnsi"/>
          <w:b/>
          <w:sz w:val="24"/>
          <w:szCs w:val="24"/>
        </w:rPr>
      </w:pPr>
      <w:r>
        <w:rPr>
          <w:rFonts w:eastAsia="Times New Roman" w:cstheme="minorHAnsi"/>
          <w:b/>
          <w:sz w:val="24"/>
          <w:szCs w:val="24"/>
        </w:rPr>
        <w:t>3</w:t>
      </w:r>
      <w:r w:rsidR="002F72B1" w:rsidRPr="006A629F">
        <w:rPr>
          <w:rFonts w:eastAsia="Times New Roman" w:cstheme="minorHAnsi"/>
          <w:b/>
          <w:sz w:val="24"/>
          <w:szCs w:val="24"/>
        </w:rPr>
        <w:t>.</w:t>
      </w:r>
      <w:r w:rsidR="002F72B1" w:rsidRPr="006A629F">
        <w:rPr>
          <w:rFonts w:eastAsia="Times New Roman" w:cstheme="minorHAnsi"/>
          <w:b/>
          <w:sz w:val="24"/>
          <w:szCs w:val="24"/>
        </w:rPr>
        <w:tab/>
      </w:r>
      <w:r w:rsidR="007D0A0B" w:rsidRPr="006A629F">
        <w:rPr>
          <w:rFonts w:eastAsia="Times New Roman" w:cstheme="minorHAnsi"/>
          <w:b/>
          <w:sz w:val="24"/>
          <w:szCs w:val="24"/>
        </w:rPr>
        <w:t>BACKGROUND</w:t>
      </w:r>
    </w:p>
    <w:p w14:paraId="5A34744C" w14:textId="49DD9A09" w:rsidR="00C30886" w:rsidRDefault="00536D5C" w:rsidP="00C30886">
      <w:pPr>
        <w:ind w:left="720" w:hanging="720"/>
        <w:rPr>
          <w:rFonts w:cstheme="minorHAnsi"/>
          <w:sz w:val="24"/>
          <w:szCs w:val="24"/>
        </w:rPr>
      </w:pPr>
      <w:r>
        <w:rPr>
          <w:rFonts w:cstheme="minorHAnsi"/>
          <w:sz w:val="24"/>
          <w:szCs w:val="24"/>
        </w:rPr>
        <w:t>3</w:t>
      </w:r>
      <w:r w:rsidR="007D0A0B" w:rsidRPr="006A629F">
        <w:rPr>
          <w:rFonts w:cstheme="minorHAnsi"/>
          <w:sz w:val="24"/>
          <w:szCs w:val="24"/>
        </w:rPr>
        <w:t>.</w:t>
      </w:r>
      <w:r w:rsidR="004463F8">
        <w:rPr>
          <w:rFonts w:cstheme="minorHAnsi"/>
          <w:sz w:val="24"/>
          <w:szCs w:val="24"/>
        </w:rPr>
        <w:t>1</w:t>
      </w:r>
      <w:r w:rsidR="007D0A0B" w:rsidRPr="006A629F">
        <w:rPr>
          <w:rFonts w:cstheme="minorHAnsi"/>
          <w:sz w:val="24"/>
          <w:szCs w:val="24"/>
        </w:rPr>
        <w:tab/>
        <w:t xml:space="preserve">The </w:t>
      </w:r>
      <w:r w:rsidR="00A00947">
        <w:rPr>
          <w:rFonts w:cstheme="minorHAnsi"/>
          <w:sz w:val="24"/>
          <w:szCs w:val="24"/>
        </w:rPr>
        <w:t xml:space="preserve">Gwent </w:t>
      </w:r>
      <w:r w:rsidR="007D0A0B" w:rsidRPr="006A629F">
        <w:rPr>
          <w:rFonts w:cstheme="minorHAnsi"/>
          <w:sz w:val="24"/>
          <w:szCs w:val="24"/>
        </w:rPr>
        <w:t xml:space="preserve">Wellbeing Plan </w:t>
      </w:r>
      <w:r w:rsidR="00C30886">
        <w:rPr>
          <w:rFonts w:cstheme="minorHAnsi"/>
          <w:sz w:val="24"/>
          <w:szCs w:val="24"/>
        </w:rPr>
        <w:t xml:space="preserve">2023-2028 </w:t>
      </w:r>
      <w:r w:rsidR="00A00947">
        <w:rPr>
          <w:rFonts w:cstheme="minorHAnsi"/>
          <w:sz w:val="24"/>
          <w:szCs w:val="24"/>
        </w:rPr>
        <w:t xml:space="preserve">was agreed by the PSB at its </w:t>
      </w:r>
      <w:r w:rsidR="00C30886">
        <w:rPr>
          <w:rFonts w:cstheme="minorHAnsi"/>
          <w:sz w:val="24"/>
          <w:szCs w:val="24"/>
        </w:rPr>
        <w:t xml:space="preserve">meeting in July 2023. The plan set two </w:t>
      </w:r>
      <w:r w:rsidR="00C30886" w:rsidRPr="00C30886">
        <w:rPr>
          <w:rFonts w:cstheme="minorHAnsi"/>
          <w:sz w:val="24"/>
          <w:szCs w:val="24"/>
        </w:rPr>
        <w:t>Well-being Objectives</w:t>
      </w:r>
      <w:r w:rsidR="00C30886">
        <w:rPr>
          <w:rFonts w:cstheme="minorHAnsi"/>
          <w:sz w:val="24"/>
          <w:szCs w:val="24"/>
        </w:rPr>
        <w:t xml:space="preserve"> and f</w:t>
      </w:r>
      <w:r w:rsidR="00C30886" w:rsidRPr="00C30886">
        <w:rPr>
          <w:rFonts w:cstheme="minorHAnsi"/>
          <w:sz w:val="24"/>
          <w:szCs w:val="24"/>
        </w:rPr>
        <w:t>ive Steps</w:t>
      </w:r>
      <w:r w:rsidR="00C30886">
        <w:rPr>
          <w:rFonts w:cstheme="minorHAnsi"/>
          <w:sz w:val="24"/>
          <w:szCs w:val="24"/>
        </w:rPr>
        <w:t xml:space="preserve"> to deliver them. The plan also embedded f</w:t>
      </w:r>
      <w:r w:rsidR="00C30886" w:rsidRPr="00C30886">
        <w:rPr>
          <w:rFonts w:cstheme="minorHAnsi"/>
          <w:sz w:val="24"/>
          <w:szCs w:val="24"/>
        </w:rPr>
        <w:t xml:space="preserve">our </w:t>
      </w:r>
      <w:r w:rsidR="00C30886">
        <w:rPr>
          <w:rFonts w:cstheme="minorHAnsi"/>
          <w:sz w:val="24"/>
          <w:szCs w:val="24"/>
        </w:rPr>
        <w:t>o</w:t>
      </w:r>
      <w:r w:rsidR="00C30886" w:rsidRPr="00C30886">
        <w:rPr>
          <w:rFonts w:cstheme="minorHAnsi"/>
          <w:sz w:val="24"/>
          <w:szCs w:val="24"/>
        </w:rPr>
        <w:t xml:space="preserve">verarching </w:t>
      </w:r>
      <w:r w:rsidR="00C30886">
        <w:rPr>
          <w:rFonts w:cstheme="minorHAnsi"/>
          <w:sz w:val="24"/>
          <w:szCs w:val="24"/>
        </w:rPr>
        <w:t>p</w:t>
      </w:r>
      <w:r w:rsidR="00C30886" w:rsidRPr="00C30886">
        <w:rPr>
          <w:rFonts w:cstheme="minorHAnsi"/>
          <w:sz w:val="24"/>
          <w:szCs w:val="24"/>
        </w:rPr>
        <w:t>rinciples</w:t>
      </w:r>
      <w:r w:rsidR="00C30886">
        <w:rPr>
          <w:rFonts w:cstheme="minorHAnsi"/>
          <w:sz w:val="24"/>
          <w:szCs w:val="24"/>
        </w:rPr>
        <w:t xml:space="preserve"> on the way the PSB will work to deliver its objectives. </w:t>
      </w:r>
    </w:p>
    <w:p w14:paraId="7AC94CAE" w14:textId="7C79BD28" w:rsidR="005F3452" w:rsidRDefault="00536D5C" w:rsidP="00C30886">
      <w:pPr>
        <w:ind w:left="720" w:hanging="720"/>
        <w:rPr>
          <w:rFonts w:cstheme="minorHAnsi"/>
          <w:sz w:val="24"/>
          <w:szCs w:val="24"/>
        </w:rPr>
      </w:pPr>
      <w:r>
        <w:rPr>
          <w:rFonts w:cstheme="minorHAnsi"/>
          <w:sz w:val="24"/>
          <w:szCs w:val="24"/>
        </w:rPr>
        <w:t>3</w:t>
      </w:r>
      <w:r w:rsidR="004463F8">
        <w:rPr>
          <w:rFonts w:cstheme="minorHAnsi"/>
          <w:sz w:val="24"/>
          <w:szCs w:val="24"/>
        </w:rPr>
        <w:t>.2</w:t>
      </w:r>
      <w:r w:rsidR="00C30886" w:rsidRPr="006A629F">
        <w:rPr>
          <w:rFonts w:cstheme="minorHAnsi"/>
          <w:sz w:val="24"/>
          <w:szCs w:val="24"/>
        </w:rPr>
        <w:tab/>
      </w:r>
      <w:r w:rsidR="00C30886">
        <w:rPr>
          <w:rFonts w:cstheme="minorHAnsi"/>
          <w:sz w:val="24"/>
          <w:szCs w:val="24"/>
        </w:rPr>
        <w:t xml:space="preserve">The </w:t>
      </w:r>
      <w:r w:rsidR="00C30886" w:rsidRPr="00C30886">
        <w:rPr>
          <w:rFonts w:cstheme="minorHAnsi"/>
          <w:sz w:val="24"/>
          <w:szCs w:val="24"/>
        </w:rPr>
        <w:t xml:space="preserve">Gwent PSB </w:t>
      </w:r>
      <w:r w:rsidR="00C30886">
        <w:rPr>
          <w:rFonts w:cstheme="minorHAnsi"/>
          <w:sz w:val="24"/>
          <w:szCs w:val="24"/>
        </w:rPr>
        <w:t xml:space="preserve">has also </w:t>
      </w:r>
      <w:r w:rsidR="00C30886" w:rsidRPr="00C30886">
        <w:rPr>
          <w:rFonts w:cstheme="minorHAnsi"/>
          <w:sz w:val="24"/>
          <w:szCs w:val="24"/>
        </w:rPr>
        <w:t>signalled its collective ambition to address inequity and its root causes</w:t>
      </w:r>
      <w:r w:rsidR="00C30886">
        <w:rPr>
          <w:rFonts w:cstheme="minorHAnsi"/>
          <w:sz w:val="24"/>
          <w:szCs w:val="24"/>
        </w:rPr>
        <w:t xml:space="preserve"> in March 202</w:t>
      </w:r>
      <w:r w:rsidR="005F3452">
        <w:rPr>
          <w:rFonts w:cstheme="minorHAnsi"/>
          <w:sz w:val="24"/>
          <w:szCs w:val="24"/>
        </w:rPr>
        <w:t>2</w:t>
      </w:r>
      <w:r w:rsidR="00C30886">
        <w:rPr>
          <w:rFonts w:cstheme="minorHAnsi"/>
          <w:sz w:val="24"/>
          <w:szCs w:val="24"/>
        </w:rPr>
        <w:t>. A</w:t>
      </w:r>
      <w:r w:rsidR="00C30886" w:rsidRPr="00C30886">
        <w:rPr>
          <w:rFonts w:cstheme="minorHAnsi"/>
          <w:sz w:val="24"/>
          <w:szCs w:val="24"/>
        </w:rPr>
        <w:t xml:space="preserve"> significant amount of work has taken place on behalf of the PSB, resulting in the publication of Building a Fairer Gwent: Improving Health Equity and the Social Determinants, </w:t>
      </w:r>
      <w:r w:rsidR="005F3452">
        <w:rPr>
          <w:rFonts w:cstheme="minorHAnsi"/>
          <w:sz w:val="24"/>
          <w:szCs w:val="24"/>
        </w:rPr>
        <w:t xml:space="preserve">report which the PSB received in July 2023 and </w:t>
      </w:r>
      <w:r w:rsidR="00C30886" w:rsidRPr="00C30886">
        <w:rPr>
          <w:rFonts w:cstheme="minorHAnsi"/>
          <w:sz w:val="24"/>
          <w:szCs w:val="24"/>
        </w:rPr>
        <w:t>re-</w:t>
      </w:r>
      <w:r w:rsidR="005F3452" w:rsidRPr="00C30886">
        <w:rPr>
          <w:rFonts w:cstheme="minorHAnsi"/>
          <w:sz w:val="24"/>
          <w:szCs w:val="24"/>
        </w:rPr>
        <w:t>state</w:t>
      </w:r>
      <w:r w:rsidR="005F3452">
        <w:rPr>
          <w:rFonts w:cstheme="minorHAnsi"/>
          <w:sz w:val="24"/>
          <w:szCs w:val="24"/>
        </w:rPr>
        <w:t xml:space="preserve">d </w:t>
      </w:r>
      <w:r w:rsidR="00C30886" w:rsidRPr="00C30886">
        <w:rPr>
          <w:rFonts w:cstheme="minorHAnsi"/>
          <w:sz w:val="24"/>
          <w:szCs w:val="24"/>
        </w:rPr>
        <w:t>and re-confirm</w:t>
      </w:r>
      <w:r w:rsidR="005F3452">
        <w:rPr>
          <w:rFonts w:cstheme="minorHAnsi"/>
          <w:sz w:val="24"/>
          <w:szCs w:val="24"/>
        </w:rPr>
        <w:t>ed</w:t>
      </w:r>
      <w:r w:rsidR="00C30886" w:rsidRPr="00C30886">
        <w:rPr>
          <w:rFonts w:cstheme="minorHAnsi"/>
          <w:sz w:val="24"/>
          <w:szCs w:val="24"/>
        </w:rPr>
        <w:t xml:space="preserve"> </w:t>
      </w:r>
      <w:r w:rsidR="005F3452">
        <w:rPr>
          <w:rFonts w:cstheme="minorHAnsi"/>
          <w:sz w:val="24"/>
          <w:szCs w:val="24"/>
        </w:rPr>
        <w:t>its ambition to address inequity and its root causes. The</w:t>
      </w:r>
      <w:r w:rsidR="00C30886" w:rsidRPr="00C30886">
        <w:rPr>
          <w:rFonts w:cstheme="minorHAnsi"/>
          <w:sz w:val="24"/>
          <w:szCs w:val="24"/>
        </w:rPr>
        <w:t xml:space="preserve"> eight Marmot Principles that form the basis of the </w:t>
      </w:r>
      <w:r w:rsidR="005F3452">
        <w:rPr>
          <w:rFonts w:cstheme="minorHAnsi"/>
          <w:sz w:val="24"/>
          <w:szCs w:val="24"/>
        </w:rPr>
        <w:t xml:space="preserve">report are embedded in the </w:t>
      </w:r>
      <w:r w:rsidR="00344579">
        <w:rPr>
          <w:rFonts w:cstheme="minorHAnsi"/>
          <w:sz w:val="24"/>
          <w:szCs w:val="24"/>
        </w:rPr>
        <w:t>W</w:t>
      </w:r>
      <w:r w:rsidR="005F3452">
        <w:rPr>
          <w:rFonts w:cstheme="minorHAnsi"/>
          <w:sz w:val="24"/>
          <w:szCs w:val="24"/>
        </w:rPr>
        <w:t xml:space="preserve">ell-being </w:t>
      </w:r>
      <w:r w:rsidR="00344579">
        <w:rPr>
          <w:rFonts w:cstheme="minorHAnsi"/>
          <w:sz w:val="24"/>
          <w:szCs w:val="24"/>
        </w:rPr>
        <w:t>P</w:t>
      </w:r>
      <w:r w:rsidR="005F3452">
        <w:rPr>
          <w:rFonts w:cstheme="minorHAnsi"/>
          <w:sz w:val="24"/>
          <w:szCs w:val="24"/>
        </w:rPr>
        <w:t xml:space="preserve">lan. </w:t>
      </w:r>
    </w:p>
    <w:p w14:paraId="13A8641F" w14:textId="627C5DAD" w:rsidR="00B05824" w:rsidRDefault="00C30886" w:rsidP="005F3452">
      <w:pPr>
        <w:ind w:left="720" w:hanging="720"/>
        <w:rPr>
          <w:rFonts w:cstheme="minorHAnsi"/>
          <w:sz w:val="24"/>
          <w:szCs w:val="24"/>
        </w:rPr>
      </w:pPr>
      <w:r w:rsidRPr="00C30886">
        <w:rPr>
          <w:rFonts w:cstheme="minorHAnsi"/>
          <w:sz w:val="24"/>
          <w:szCs w:val="24"/>
        </w:rPr>
        <w:t xml:space="preserve"> </w:t>
      </w:r>
      <w:r w:rsidR="00536D5C">
        <w:rPr>
          <w:rFonts w:cstheme="minorHAnsi"/>
          <w:sz w:val="24"/>
          <w:szCs w:val="24"/>
        </w:rPr>
        <w:t>3</w:t>
      </w:r>
      <w:r w:rsidR="005F3452" w:rsidRPr="006A629F">
        <w:rPr>
          <w:rFonts w:cstheme="minorHAnsi"/>
          <w:sz w:val="24"/>
          <w:szCs w:val="24"/>
        </w:rPr>
        <w:t>.</w:t>
      </w:r>
      <w:r w:rsidR="004463F8">
        <w:rPr>
          <w:rFonts w:cstheme="minorHAnsi"/>
          <w:sz w:val="24"/>
          <w:szCs w:val="24"/>
        </w:rPr>
        <w:t>3</w:t>
      </w:r>
      <w:r w:rsidR="005F3452" w:rsidRPr="006A629F">
        <w:rPr>
          <w:rFonts w:cstheme="minorHAnsi"/>
          <w:sz w:val="24"/>
          <w:szCs w:val="24"/>
        </w:rPr>
        <w:tab/>
      </w:r>
      <w:r w:rsidR="0078316F">
        <w:rPr>
          <w:rFonts w:cstheme="minorHAnsi"/>
          <w:sz w:val="24"/>
          <w:szCs w:val="24"/>
        </w:rPr>
        <w:t xml:space="preserve"> Following f</w:t>
      </w:r>
      <w:r w:rsidR="003072E4" w:rsidRPr="003072E4">
        <w:rPr>
          <w:rFonts w:cstheme="minorHAnsi"/>
          <w:sz w:val="24"/>
          <w:szCs w:val="24"/>
        </w:rPr>
        <w:t>urther consideration of the evidenc</w:t>
      </w:r>
      <w:r w:rsidR="00D17766">
        <w:rPr>
          <w:rFonts w:cstheme="minorHAnsi"/>
          <w:sz w:val="24"/>
          <w:szCs w:val="24"/>
        </w:rPr>
        <w:t xml:space="preserve">e from the </w:t>
      </w:r>
      <w:r w:rsidR="00D17766" w:rsidRPr="00D17766">
        <w:rPr>
          <w:rFonts w:cstheme="minorHAnsi"/>
          <w:sz w:val="24"/>
          <w:szCs w:val="24"/>
        </w:rPr>
        <w:t>Well-being Plan and Building a Fairer Gwent report</w:t>
      </w:r>
      <w:r w:rsidR="00AF2605">
        <w:rPr>
          <w:rFonts w:cstheme="minorHAnsi"/>
          <w:sz w:val="24"/>
          <w:szCs w:val="24"/>
        </w:rPr>
        <w:t>,</w:t>
      </w:r>
      <w:r w:rsidR="0078316F" w:rsidRPr="0078316F">
        <w:rPr>
          <w:rFonts w:cstheme="minorHAnsi"/>
          <w:sz w:val="24"/>
          <w:szCs w:val="24"/>
        </w:rPr>
        <w:t xml:space="preserve"> </w:t>
      </w:r>
      <w:r w:rsidR="00D54426">
        <w:rPr>
          <w:rFonts w:cstheme="minorHAnsi"/>
          <w:sz w:val="24"/>
          <w:szCs w:val="24"/>
        </w:rPr>
        <w:t xml:space="preserve">the PSB identified </w:t>
      </w:r>
      <w:r w:rsidR="00CD19BD">
        <w:rPr>
          <w:rFonts w:cstheme="minorHAnsi"/>
          <w:sz w:val="24"/>
          <w:szCs w:val="24"/>
        </w:rPr>
        <w:t xml:space="preserve">the </w:t>
      </w:r>
      <w:r w:rsidR="00AF2605" w:rsidRPr="00AF2605">
        <w:rPr>
          <w:rFonts w:cstheme="minorHAnsi"/>
          <w:sz w:val="24"/>
          <w:szCs w:val="24"/>
        </w:rPr>
        <w:t xml:space="preserve">four at scale areas of focus </w:t>
      </w:r>
      <w:r w:rsidR="00D54426">
        <w:rPr>
          <w:rFonts w:cstheme="minorHAnsi"/>
          <w:sz w:val="24"/>
          <w:szCs w:val="24"/>
        </w:rPr>
        <w:t xml:space="preserve">to </w:t>
      </w:r>
      <w:r w:rsidR="0078316F" w:rsidRPr="0078316F">
        <w:rPr>
          <w:rFonts w:cstheme="minorHAnsi"/>
          <w:sz w:val="24"/>
          <w:szCs w:val="24"/>
        </w:rPr>
        <w:t>deliver its objectives</w:t>
      </w:r>
      <w:r w:rsidR="00CD19BD">
        <w:rPr>
          <w:rFonts w:cstheme="minorHAnsi"/>
          <w:sz w:val="24"/>
          <w:szCs w:val="24"/>
        </w:rPr>
        <w:t xml:space="preserve"> as stated in </w:t>
      </w:r>
      <w:r w:rsidR="00F24A72">
        <w:rPr>
          <w:rFonts w:cstheme="minorHAnsi"/>
          <w:sz w:val="24"/>
          <w:szCs w:val="24"/>
        </w:rPr>
        <w:t>paragraph 1.1.</w:t>
      </w:r>
      <w:r w:rsidR="00145947">
        <w:rPr>
          <w:rFonts w:cstheme="minorHAnsi"/>
          <w:sz w:val="24"/>
          <w:szCs w:val="24"/>
        </w:rPr>
        <w:t xml:space="preserve"> </w:t>
      </w:r>
    </w:p>
    <w:p w14:paraId="16CB0337" w14:textId="357ACE81" w:rsidR="00AA28D0" w:rsidRPr="006A629F" w:rsidRDefault="00536D5C" w:rsidP="00952023">
      <w:pPr>
        <w:spacing w:after="0" w:line="240" w:lineRule="auto"/>
        <w:ind w:left="720" w:hanging="720"/>
        <w:rPr>
          <w:rFonts w:eastAsia="Times New Roman" w:cstheme="minorHAnsi"/>
          <w:b/>
          <w:sz w:val="24"/>
          <w:szCs w:val="24"/>
        </w:rPr>
      </w:pPr>
      <w:r>
        <w:rPr>
          <w:rFonts w:eastAsia="Times New Roman" w:cstheme="minorHAnsi"/>
          <w:b/>
          <w:sz w:val="24"/>
          <w:szCs w:val="24"/>
        </w:rPr>
        <w:lastRenderedPageBreak/>
        <w:t>4</w:t>
      </w:r>
      <w:r w:rsidR="00B05824" w:rsidRPr="006A629F">
        <w:rPr>
          <w:rFonts w:eastAsia="Times New Roman" w:cstheme="minorHAnsi"/>
          <w:b/>
          <w:sz w:val="24"/>
          <w:szCs w:val="24"/>
        </w:rPr>
        <w:t xml:space="preserve">. </w:t>
      </w:r>
      <w:r w:rsidR="00B05824" w:rsidRPr="006A629F">
        <w:rPr>
          <w:rFonts w:eastAsia="Times New Roman" w:cstheme="minorHAnsi"/>
          <w:b/>
          <w:sz w:val="24"/>
          <w:szCs w:val="24"/>
        </w:rPr>
        <w:tab/>
        <w:t>KEY ISSUES</w:t>
      </w:r>
    </w:p>
    <w:p w14:paraId="62076861" w14:textId="77777777" w:rsidR="00DF07E3" w:rsidRPr="00B17CD1" w:rsidRDefault="00DF07E3" w:rsidP="00B17CD1">
      <w:pPr>
        <w:rPr>
          <w:rFonts w:cstheme="minorHAnsi"/>
          <w:vanish/>
          <w:sz w:val="24"/>
          <w:szCs w:val="24"/>
        </w:rPr>
      </w:pPr>
      <w:bookmarkStart w:id="0" w:name="_Hlk161069992"/>
    </w:p>
    <w:p w14:paraId="187D0DE7" w14:textId="77777777" w:rsidR="00B17CD1" w:rsidRDefault="00323D3D" w:rsidP="00B17CD1">
      <w:pPr>
        <w:pStyle w:val="ListParagraph"/>
        <w:numPr>
          <w:ilvl w:val="1"/>
          <w:numId w:val="11"/>
        </w:numPr>
        <w:rPr>
          <w:rFonts w:cstheme="minorHAnsi"/>
          <w:sz w:val="24"/>
          <w:szCs w:val="24"/>
        </w:rPr>
      </w:pPr>
      <w:r w:rsidRPr="00B17CD1">
        <w:rPr>
          <w:rFonts w:cstheme="minorHAnsi"/>
          <w:sz w:val="24"/>
          <w:szCs w:val="24"/>
        </w:rPr>
        <w:t>The</w:t>
      </w:r>
      <w:r w:rsidR="0088286B" w:rsidRPr="00B17CD1">
        <w:rPr>
          <w:rFonts w:cstheme="minorHAnsi"/>
          <w:sz w:val="24"/>
          <w:szCs w:val="24"/>
        </w:rPr>
        <w:t xml:space="preserve"> process</w:t>
      </w:r>
      <w:r w:rsidRPr="00B17CD1">
        <w:rPr>
          <w:rFonts w:cstheme="minorHAnsi"/>
          <w:sz w:val="24"/>
          <w:szCs w:val="24"/>
        </w:rPr>
        <w:t xml:space="preserve">, </w:t>
      </w:r>
      <w:r w:rsidR="00746346" w:rsidRPr="00B17CD1">
        <w:rPr>
          <w:rFonts w:cstheme="minorHAnsi"/>
          <w:sz w:val="24"/>
          <w:szCs w:val="24"/>
        </w:rPr>
        <w:t xml:space="preserve">summarised </w:t>
      </w:r>
      <w:r w:rsidRPr="00B17CD1">
        <w:rPr>
          <w:rFonts w:cstheme="minorHAnsi"/>
          <w:sz w:val="24"/>
          <w:szCs w:val="24"/>
        </w:rPr>
        <w:t xml:space="preserve">in Appendix </w:t>
      </w:r>
      <w:r w:rsidR="00800B5C" w:rsidRPr="00B17CD1">
        <w:rPr>
          <w:rFonts w:cstheme="minorHAnsi"/>
          <w:sz w:val="24"/>
          <w:szCs w:val="24"/>
        </w:rPr>
        <w:t>1,</w:t>
      </w:r>
      <w:r w:rsidR="0088286B" w:rsidRPr="00B17CD1">
        <w:rPr>
          <w:rFonts w:cstheme="minorHAnsi"/>
          <w:sz w:val="24"/>
          <w:szCs w:val="24"/>
        </w:rPr>
        <w:t xml:space="preserve"> has been </w:t>
      </w:r>
      <w:r w:rsidR="00746346" w:rsidRPr="00B17CD1">
        <w:rPr>
          <w:rFonts w:cstheme="minorHAnsi"/>
          <w:sz w:val="24"/>
          <w:szCs w:val="24"/>
        </w:rPr>
        <w:t>followed</w:t>
      </w:r>
      <w:r w:rsidRPr="00B17CD1">
        <w:rPr>
          <w:rFonts w:cstheme="minorHAnsi"/>
          <w:sz w:val="24"/>
          <w:szCs w:val="24"/>
        </w:rPr>
        <w:t xml:space="preserve"> to develop options </w:t>
      </w:r>
      <w:r w:rsidR="00746346" w:rsidRPr="00B17CD1">
        <w:rPr>
          <w:rFonts w:cstheme="minorHAnsi"/>
          <w:sz w:val="24"/>
          <w:szCs w:val="24"/>
        </w:rPr>
        <w:t xml:space="preserve">for consideration by the PSB on where it </w:t>
      </w:r>
      <w:r w:rsidRPr="00B17CD1">
        <w:rPr>
          <w:rFonts w:cstheme="minorHAnsi"/>
          <w:sz w:val="24"/>
          <w:szCs w:val="24"/>
        </w:rPr>
        <w:t>could prioritise its activity to deliver the</w:t>
      </w:r>
      <w:r w:rsidR="000601A6" w:rsidRPr="00B17CD1">
        <w:rPr>
          <w:rFonts w:cstheme="minorHAnsi"/>
          <w:sz w:val="24"/>
          <w:szCs w:val="24"/>
        </w:rPr>
        <w:t xml:space="preserve"> </w:t>
      </w:r>
      <w:r w:rsidR="00A179C1" w:rsidRPr="00B17CD1">
        <w:rPr>
          <w:rFonts w:cstheme="minorHAnsi"/>
          <w:sz w:val="24"/>
          <w:szCs w:val="24"/>
        </w:rPr>
        <w:t>four</w:t>
      </w:r>
      <w:r w:rsidRPr="00B17CD1">
        <w:rPr>
          <w:rFonts w:cstheme="minorHAnsi"/>
          <w:sz w:val="24"/>
          <w:szCs w:val="24"/>
        </w:rPr>
        <w:t xml:space="preserve"> areas</w:t>
      </w:r>
      <w:r w:rsidR="00A179C1" w:rsidRPr="00B17CD1">
        <w:rPr>
          <w:rFonts w:cstheme="minorHAnsi"/>
          <w:sz w:val="24"/>
          <w:szCs w:val="24"/>
        </w:rPr>
        <w:t xml:space="preserve"> of focus</w:t>
      </w:r>
      <w:r w:rsidRPr="00B17CD1">
        <w:rPr>
          <w:rFonts w:cstheme="minorHAnsi"/>
          <w:sz w:val="24"/>
          <w:szCs w:val="24"/>
        </w:rPr>
        <w:t>.</w:t>
      </w:r>
      <w:r w:rsidR="00C97C38" w:rsidRPr="00B17CD1">
        <w:rPr>
          <w:rFonts w:cstheme="minorHAnsi"/>
          <w:sz w:val="24"/>
          <w:szCs w:val="24"/>
        </w:rPr>
        <w:t xml:space="preserve"> </w:t>
      </w:r>
      <w:r w:rsidR="00373570" w:rsidRPr="00B17CD1">
        <w:rPr>
          <w:rFonts w:cstheme="minorHAnsi"/>
          <w:sz w:val="24"/>
          <w:szCs w:val="24"/>
        </w:rPr>
        <w:t xml:space="preserve"> </w:t>
      </w:r>
      <w:r w:rsidR="00EF4375" w:rsidRPr="00B17CD1">
        <w:rPr>
          <w:rFonts w:cstheme="minorHAnsi"/>
          <w:sz w:val="24"/>
          <w:szCs w:val="24"/>
        </w:rPr>
        <w:t xml:space="preserve">In recognising the complex </w:t>
      </w:r>
      <w:r w:rsidR="00BE4C86" w:rsidRPr="00B17CD1">
        <w:rPr>
          <w:rFonts w:cstheme="minorHAnsi"/>
          <w:sz w:val="24"/>
          <w:szCs w:val="24"/>
        </w:rPr>
        <w:t xml:space="preserve">nature of the areas and the extensive </w:t>
      </w:r>
      <w:r w:rsidR="00C97C38" w:rsidRPr="00B17CD1">
        <w:rPr>
          <w:rFonts w:cstheme="minorHAnsi"/>
          <w:sz w:val="24"/>
          <w:szCs w:val="24"/>
        </w:rPr>
        <w:t>involvement</w:t>
      </w:r>
      <w:r w:rsidR="00BE4C86" w:rsidRPr="00B17CD1">
        <w:rPr>
          <w:rFonts w:cstheme="minorHAnsi"/>
          <w:sz w:val="24"/>
          <w:szCs w:val="24"/>
        </w:rPr>
        <w:t xml:space="preserve"> required</w:t>
      </w:r>
      <w:r w:rsidR="00A43354" w:rsidRPr="00B17CD1">
        <w:rPr>
          <w:rFonts w:cstheme="minorHAnsi"/>
          <w:sz w:val="24"/>
          <w:szCs w:val="24"/>
        </w:rPr>
        <w:t>, t</w:t>
      </w:r>
      <w:r w:rsidR="00373570" w:rsidRPr="00B17CD1">
        <w:rPr>
          <w:rFonts w:cstheme="minorHAnsi"/>
          <w:sz w:val="24"/>
          <w:szCs w:val="24"/>
        </w:rPr>
        <w:t>h</w:t>
      </w:r>
      <w:r w:rsidR="00505C80" w:rsidRPr="00B17CD1">
        <w:rPr>
          <w:rFonts w:cstheme="minorHAnsi"/>
          <w:sz w:val="24"/>
          <w:szCs w:val="24"/>
        </w:rPr>
        <w:t xml:space="preserve">e </w:t>
      </w:r>
      <w:r w:rsidR="00C065C0" w:rsidRPr="00B17CD1">
        <w:rPr>
          <w:rFonts w:cstheme="minorHAnsi"/>
          <w:sz w:val="24"/>
          <w:szCs w:val="24"/>
        </w:rPr>
        <w:t xml:space="preserve">process has followed a </w:t>
      </w:r>
      <w:r w:rsidR="00C72DE6" w:rsidRPr="00B17CD1">
        <w:rPr>
          <w:rFonts w:cstheme="minorHAnsi"/>
          <w:sz w:val="24"/>
          <w:szCs w:val="24"/>
        </w:rPr>
        <w:t xml:space="preserve">theory of change </w:t>
      </w:r>
      <w:r w:rsidR="00B9780B" w:rsidRPr="00B17CD1">
        <w:rPr>
          <w:rFonts w:cstheme="minorHAnsi"/>
          <w:sz w:val="24"/>
          <w:szCs w:val="24"/>
        </w:rPr>
        <w:t>approach</w:t>
      </w:r>
      <w:r w:rsidR="004E5155" w:rsidRPr="00B17CD1">
        <w:rPr>
          <w:rFonts w:cstheme="minorHAnsi"/>
          <w:sz w:val="24"/>
          <w:szCs w:val="24"/>
        </w:rPr>
        <w:t xml:space="preserve">, this has supported a broadly consistent way to </w:t>
      </w:r>
      <w:r w:rsidR="00BD0359" w:rsidRPr="00B17CD1">
        <w:rPr>
          <w:rFonts w:cstheme="minorHAnsi"/>
          <w:sz w:val="24"/>
          <w:szCs w:val="24"/>
        </w:rPr>
        <w:t xml:space="preserve">plan, </w:t>
      </w:r>
      <w:r w:rsidR="004E5155" w:rsidRPr="00B17CD1">
        <w:rPr>
          <w:rFonts w:cstheme="minorHAnsi"/>
          <w:sz w:val="24"/>
          <w:szCs w:val="24"/>
        </w:rPr>
        <w:t>capture</w:t>
      </w:r>
      <w:r w:rsidR="00BD0359" w:rsidRPr="00B17CD1">
        <w:rPr>
          <w:rFonts w:cstheme="minorHAnsi"/>
          <w:sz w:val="24"/>
          <w:szCs w:val="24"/>
        </w:rPr>
        <w:t xml:space="preserve"> </w:t>
      </w:r>
      <w:r w:rsidR="00B9780B" w:rsidRPr="00B17CD1">
        <w:rPr>
          <w:rFonts w:cstheme="minorHAnsi"/>
          <w:sz w:val="24"/>
          <w:szCs w:val="24"/>
        </w:rPr>
        <w:t xml:space="preserve">and </w:t>
      </w:r>
      <w:r w:rsidR="00BD0359" w:rsidRPr="00B17CD1">
        <w:rPr>
          <w:rFonts w:cstheme="minorHAnsi"/>
          <w:sz w:val="24"/>
          <w:szCs w:val="24"/>
        </w:rPr>
        <w:t xml:space="preserve">analyse the range of information that has </w:t>
      </w:r>
      <w:r w:rsidR="00C97C38" w:rsidRPr="00B17CD1">
        <w:rPr>
          <w:rFonts w:cstheme="minorHAnsi"/>
          <w:sz w:val="24"/>
          <w:szCs w:val="24"/>
        </w:rPr>
        <w:t xml:space="preserve">been provided. </w:t>
      </w:r>
      <w:bookmarkStart w:id="1" w:name="_Hlk162011661"/>
    </w:p>
    <w:p w14:paraId="407F5D59" w14:textId="77777777" w:rsidR="00B17CD1" w:rsidRDefault="00B17CD1" w:rsidP="00B17CD1">
      <w:pPr>
        <w:pStyle w:val="ListParagraph"/>
        <w:ind w:left="360"/>
        <w:rPr>
          <w:rFonts w:cstheme="minorHAnsi"/>
          <w:sz w:val="24"/>
          <w:szCs w:val="24"/>
        </w:rPr>
      </w:pPr>
    </w:p>
    <w:p w14:paraId="13386AA7" w14:textId="77777777" w:rsidR="00B17CD1" w:rsidRDefault="00C72DE6" w:rsidP="00B17CD1">
      <w:pPr>
        <w:pStyle w:val="ListParagraph"/>
        <w:numPr>
          <w:ilvl w:val="1"/>
          <w:numId w:val="11"/>
        </w:numPr>
        <w:rPr>
          <w:rFonts w:cstheme="minorHAnsi"/>
          <w:sz w:val="24"/>
          <w:szCs w:val="24"/>
        </w:rPr>
      </w:pPr>
      <w:r w:rsidRPr="00B17CD1">
        <w:rPr>
          <w:rFonts w:cstheme="minorHAnsi"/>
          <w:sz w:val="24"/>
          <w:szCs w:val="24"/>
        </w:rPr>
        <w:t xml:space="preserve">The process has involved an extensive range of partners across Gwent with over </w:t>
      </w:r>
      <w:r w:rsidR="00D6730B" w:rsidRPr="00B17CD1">
        <w:rPr>
          <w:rFonts w:cstheme="minorHAnsi"/>
          <w:sz w:val="24"/>
          <w:szCs w:val="24"/>
        </w:rPr>
        <w:t>200</w:t>
      </w:r>
      <w:r w:rsidRPr="00B17CD1">
        <w:rPr>
          <w:rFonts w:cstheme="minorHAnsi"/>
          <w:sz w:val="24"/>
          <w:szCs w:val="24"/>
        </w:rPr>
        <w:t xml:space="preserve"> individuals and </w:t>
      </w:r>
      <w:r w:rsidR="001E39D0" w:rsidRPr="00B17CD1">
        <w:rPr>
          <w:rFonts w:cstheme="minorHAnsi"/>
          <w:sz w:val="24"/>
          <w:szCs w:val="24"/>
        </w:rPr>
        <w:t xml:space="preserve">over </w:t>
      </w:r>
      <w:r w:rsidR="00F633D6" w:rsidRPr="00B17CD1">
        <w:rPr>
          <w:rFonts w:cstheme="minorHAnsi"/>
          <w:sz w:val="24"/>
          <w:szCs w:val="24"/>
        </w:rPr>
        <w:t>20</w:t>
      </w:r>
      <w:r w:rsidRPr="00B17CD1">
        <w:rPr>
          <w:rFonts w:cstheme="minorHAnsi"/>
          <w:sz w:val="24"/>
          <w:szCs w:val="24"/>
        </w:rPr>
        <w:t xml:space="preserve"> organisations responding to surveys or participating in the workshops.</w:t>
      </w:r>
      <w:r w:rsidR="00A43354" w:rsidRPr="00A43354">
        <w:t xml:space="preserve"> </w:t>
      </w:r>
      <w:r w:rsidR="00A43354" w:rsidRPr="00B17CD1">
        <w:rPr>
          <w:rFonts w:cstheme="minorHAnsi"/>
          <w:sz w:val="24"/>
          <w:szCs w:val="24"/>
        </w:rPr>
        <w:t>This included an initial mapping of current delivery structures that are relevant to these areas.</w:t>
      </w:r>
      <w:r w:rsidRPr="00B17CD1">
        <w:rPr>
          <w:rFonts w:cstheme="minorHAnsi"/>
          <w:sz w:val="24"/>
          <w:szCs w:val="24"/>
        </w:rPr>
        <w:t xml:space="preserve"> </w:t>
      </w:r>
      <w:r w:rsidR="00C97C38" w:rsidRPr="00B17CD1">
        <w:rPr>
          <w:rFonts w:cstheme="minorHAnsi"/>
          <w:sz w:val="24"/>
          <w:szCs w:val="24"/>
        </w:rPr>
        <w:t>The f</w:t>
      </w:r>
      <w:r w:rsidR="00505C80" w:rsidRPr="00B17CD1">
        <w:rPr>
          <w:rFonts w:cstheme="minorHAnsi"/>
          <w:sz w:val="24"/>
          <w:szCs w:val="24"/>
        </w:rPr>
        <w:t>eedback</w:t>
      </w:r>
      <w:r w:rsidR="00843B4D" w:rsidRPr="00B17CD1">
        <w:rPr>
          <w:rFonts w:cstheme="minorHAnsi"/>
          <w:sz w:val="24"/>
          <w:szCs w:val="24"/>
        </w:rPr>
        <w:t xml:space="preserve"> gathered</w:t>
      </w:r>
      <w:r w:rsidR="00505C80" w:rsidRPr="00B17CD1">
        <w:rPr>
          <w:rFonts w:cstheme="minorHAnsi"/>
          <w:sz w:val="24"/>
          <w:szCs w:val="24"/>
        </w:rPr>
        <w:t xml:space="preserve"> </w:t>
      </w:r>
      <w:r w:rsidR="00373570" w:rsidRPr="00B17CD1">
        <w:rPr>
          <w:rFonts w:cstheme="minorHAnsi"/>
          <w:sz w:val="24"/>
          <w:szCs w:val="24"/>
        </w:rPr>
        <w:t xml:space="preserve">has been </w:t>
      </w:r>
      <w:r w:rsidR="00A910EE" w:rsidRPr="00B17CD1">
        <w:rPr>
          <w:rFonts w:cstheme="minorHAnsi"/>
          <w:sz w:val="24"/>
          <w:szCs w:val="24"/>
        </w:rPr>
        <w:t>analysed,</w:t>
      </w:r>
      <w:r w:rsidR="00505C80" w:rsidRPr="00B17CD1">
        <w:rPr>
          <w:rFonts w:cstheme="minorHAnsi"/>
          <w:sz w:val="24"/>
          <w:szCs w:val="24"/>
        </w:rPr>
        <w:t xml:space="preserve"> alongside a range of existing evidence</w:t>
      </w:r>
      <w:r w:rsidR="009E3033" w:rsidRPr="00B17CD1">
        <w:rPr>
          <w:rFonts w:cstheme="minorHAnsi"/>
          <w:sz w:val="24"/>
          <w:szCs w:val="24"/>
        </w:rPr>
        <w:t xml:space="preserve">, including </w:t>
      </w:r>
      <w:r w:rsidR="00505C80" w:rsidRPr="00B17CD1">
        <w:rPr>
          <w:rFonts w:cstheme="minorHAnsi"/>
          <w:sz w:val="24"/>
          <w:szCs w:val="24"/>
        </w:rPr>
        <w:t xml:space="preserve">from the </w:t>
      </w:r>
      <w:r w:rsidR="007A77B7" w:rsidRPr="00B17CD1">
        <w:rPr>
          <w:rFonts w:cstheme="minorHAnsi"/>
          <w:sz w:val="24"/>
          <w:szCs w:val="24"/>
        </w:rPr>
        <w:t xml:space="preserve">well-being assessment </w:t>
      </w:r>
      <w:r w:rsidR="009E3033" w:rsidRPr="00B17CD1">
        <w:rPr>
          <w:rFonts w:cstheme="minorHAnsi"/>
          <w:sz w:val="24"/>
          <w:szCs w:val="24"/>
        </w:rPr>
        <w:t>and plan and Building a Fairer Gwent Report</w:t>
      </w:r>
      <w:r w:rsidR="00C065C0" w:rsidRPr="00B17CD1">
        <w:rPr>
          <w:rFonts w:cstheme="minorHAnsi"/>
          <w:sz w:val="24"/>
          <w:szCs w:val="24"/>
        </w:rPr>
        <w:t xml:space="preserve">, </w:t>
      </w:r>
      <w:r w:rsidR="00961A3A" w:rsidRPr="00B17CD1">
        <w:rPr>
          <w:rFonts w:cstheme="minorHAnsi"/>
          <w:sz w:val="24"/>
          <w:szCs w:val="24"/>
        </w:rPr>
        <w:t>following the</w:t>
      </w:r>
      <w:r w:rsidR="00D938F3" w:rsidRPr="00B17CD1">
        <w:rPr>
          <w:rFonts w:cstheme="minorHAnsi"/>
          <w:sz w:val="24"/>
          <w:szCs w:val="24"/>
        </w:rPr>
        <w:t xml:space="preserve"> agreed</w:t>
      </w:r>
      <w:r w:rsidR="00961A3A" w:rsidRPr="00B17CD1">
        <w:rPr>
          <w:rFonts w:cstheme="minorHAnsi"/>
          <w:sz w:val="24"/>
          <w:szCs w:val="24"/>
        </w:rPr>
        <w:t xml:space="preserve"> process. </w:t>
      </w:r>
      <w:bookmarkEnd w:id="1"/>
    </w:p>
    <w:p w14:paraId="7660364C" w14:textId="77777777" w:rsidR="00B17CD1" w:rsidRPr="00B17CD1" w:rsidRDefault="00B17CD1" w:rsidP="00B17CD1">
      <w:pPr>
        <w:pStyle w:val="ListParagraph"/>
        <w:rPr>
          <w:rFonts w:cstheme="minorHAnsi"/>
          <w:sz w:val="24"/>
          <w:szCs w:val="24"/>
        </w:rPr>
      </w:pPr>
    </w:p>
    <w:p w14:paraId="1114A132" w14:textId="42B7760B" w:rsidR="008F7C30" w:rsidRPr="00B17CD1" w:rsidRDefault="00067BAA" w:rsidP="00B17CD1">
      <w:pPr>
        <w:pStyle w:val="ListParagraph"/>
        <w:numPr>
          <w:ilvl w:val="1"/>
          <w:numId w:val="11"/>
        </w:numPr>
        <w:rPr>
          <w:rFonts w:cstheme="minorHAnsi"/>
          <w:sz w:val="24"/>
          <w:szCs w:val="24"/>
        </w:rPr>
      </w:pPr>
      <w:r w:rsidRPr="00B17CD1">
        <w:rPr>
          <w:rFonts w:cstheme="minorHAnsi"/>
          <w:sz w:val="24"/>
          <w:szCs w:val="24"/>
        </w:rPr>
        <w:t xml:space="preserve">Appendix </w:t>
      </w:r>
      <w:r w:rsidR="00DB5F09" w:rsidRPr="00B17CD1">
        <w:rPr>
          <w:rFonts w:cstheme="minorHAnsi"/>
          <w:sz w:val="24"/>
          <w:szCs w:val="24"/>
        </w:rPr>
        <w:t>2</w:t>
      </w:r>
      <w:r w:rsidRPr="00B17CD1">
        <w:rPr>
          <w:rFonts w:cstheme="minorHAnsi"/>
          <w:sz w:val="24"/>
          <w:szCs w:val="24"/>
        </w:rPr>
        <w:t xml:space="preserve"> </w:t>
      </w:r>
      <w:r w:rsidR="00385F24" w:rsidRPr="00B17CD1">
        <w:rPr>
          <w:rFonts w:cstheme="minorHAnsi"/>
          <w:sz w:val="24"/>
          <w:szCs w:val="24"/>
        </w:rPr>
        <w:t xml:space="preserve">sets out </w:t>
      </w:r>
      <w:r w:rsidR="00F222AC" w:rsidRPr="00B17CD1">
        <w:rPr>
          <w:rFonts w:cstheme="minorHAnsi"/>
          <w:sz w:val="24"/>
          <w:szCs w:val="24"/>
        </w:rPr>
        <w:t xml:space="preserve">the </w:t>
      </w:r>
      <w:r w:rsidR="00E12859" w:rsidRPr="00B17CD1">
        <w:rPr>
          <w:rFonts w:cstheme="minorHAnsi"/>
          <w:sz w:val="24"/>
          <w:szCs w:val="24"/>
        </w:rPr>
        <w:t xml:space="preserve">full </w:t>
      </w:r>
      <w:r w:rsidR="008F7C30" w:rsidRPr="00B17CD1">
        <w:rPr>
          <w:rFonts w:cstheme="minorHAnsi"/>
          <w:sz w:val="24"/>
          <w:szCs w:val="24"/>
        </w:rPr>
        <w:t xml:space="preserve">analysis </w:t>
      </w:r>
      <w:r w:rsidR="00F222AC" w:rsidRPr="00B17CD1">
        <w:rPr>
          <w:rFonts w:cstheme="minorHAnsi"/>
          <w:sz w:val="24"/>
          <w:szCs w:val="24"/>
        </w:rPr>
        <w:t>for</w:t>
      </w:r>
      <w:r w:rsidR="008F7C30" w:rsidRPr="00B17CD1">
        <w:rPr>
          <w:rFonts w:cstheme="minorHAnsi"/>
          <w:sz w:val="24"/>
          <w:szCs w:val="24"/>
        </w:rPr>
        <w:t xml:space="preserve"> each area of focus.</w:t>
      </w:r>
      <w:r w:rsidR="007051AA" w:rsidRPr="007051AA">
        <w:t xml:space="preserve"> </w:t>
      </w:r>
      <w:r w:rsidR="007051AA" w:rsidRPr="00B17CD1">
        <w:rPr>
          <w:rFonts w:cstheme="minorHAnsi"/>
          <w:sz w:val="24"/>
          <w:szCs w:val="24"/>
        </w:rPr>
        <w:t>This provides the PSB with</w:t>
      </w:r>
      <w:r w:rsidR="006B7ED9" w:rsidRPr="00B17CD1">
        <w:rPr>
          <w:rFonts w:cstheme="minorHAnsi"/>
          <w:sz w:val="24"/>
          <w:szCs w:val="24"/>
        </w:rPr>
        <w:t xml:space="preserve"> the</w:t>
      </w:r>
      <w:r w:rsidR="00553F62" w:rsidRPr="00B17CD1">
        <w:rPr>
          <w:rFonts w:cstheme="minorHAnsi"/>
          <w:sz w:val="24"/>
          <w:szCs w:val="24"/>
        </w:rPr>
        <w:t xml:space="preserve"> outcomes </w:t>
      </w:r>
      <w:r w:rsidR="006B7ED9" w:rsidRPr="00B17CD1">
        <w:rPr>
          <w:rFonts w:cstheme="minorHAnsi"/>
          <w:sz w:val="24"/>
          <w:szCs w:val="24"/>
        </w:rPr>
        <w:t xml:space="preserve">proposed </w:t>
      </w:r>
      <w:r w:rsidR="00BE6EE0" w:rsidRPr="00B17CD1">
        <w:rPr>
          <w:rFonts w:cstheme="minorHAnsi"/>
          <w:sz w:val="24"/>
          <w:szCs w:val="24"/>
        </w:rPr>
        <w:t>from the development work undertaken.</w:t>
      </w:r>
      <w:r w:rsidR="008F7C30" w:rsidRPr="00B17CD1">
        <w:rPr>
          <w:rFonts w:cstheme="minorHAnsi"/>
          <w:sz w:val="24"/>
          <w:szCs w:val="24"/>
        </w:rPr>
        <w:t xml:space="preserve"> </w:t>
      </w:r>
      <w:r w:rsidR="00D8054A" w:rsidRPr="00B17CD1">
        <w:rPr>
          <w:rFonts w:cstheme="minorHAnsi"/>
          <w:sz w:val="24"/>
          <w:szCs w:val="24"/>
        </w:rPr>
        <w:t xml:space="preserve">For each </w:t>
      </w:r>
      <w:r w:rsidR="00FF7C77" w:rsidRPr="00B17CD1">
        <w:rPr>
          <w:rFonts w:cstheme="minorHAnsi"/>
          <w:sz w:val="24"/>
          <w:szCs w:val="24"/>
        </w:rPr>
        <w:t>area</w:t>
      </w:r>
      <w:r w:rsidR="00D8054A" w:rsidRPr="00B17CD1">
        <w:rPr>
          <w:rFonts w:cstheme="minorHAnsi"/>
          <w:sz w:val="24"/>
          <w:szCs w:val="24"/>
        </w:rPr>
        <w:t xml:space="preserve"> this identifies:</w:t>
      </w:r>
    </w:p>
    <w:p w14:paraId="06BD808B" w14:textId="2609DDE3" w:rsidR="00D8054A" w:rsidRPr="005C346D" w:rsidRDefault="003F586A" w:rsidP="00246F90">
      <w:pPr>
        <w:pStyle w:val="ListParagraph"/>
        <w:numPr>
          <w:ilvl w:val="0"/>
          <w:numId w:val="5"/>
        </w:numPr>
        <w:rPr>
          <w:rFonts w:cstheme="minorHAnsi"/>
          <w:sz w:val="24"/>
          <w:szCs w:val="24"/>
        </w:rPr>
      </w:pPr>
      <w:r w:rsidRPr="005C346D">
        <w:rPr>
          <w:rFonts w:cstheme="minorHAnsi"/>
          <w:sz w:val="24"/>
          <w:szCs w:val="24"/>
        </w:rPr>
        <w:t>Why are we focusing on this?</w:t>
      </w:r>
      <w:r w:rsidR="005A0E82" w:rsidRPr="005C346D">
        <w:rPr>
          <w:rFonts w:cstheme="minorHAnsi"/>
          <w:sz w:val="24"/>
          <w:szCs w:val="24"/>
        </w:rPr>
        <w:t xml:space="preserve"> (Impact)</w:t>
      </w:r>
      <w:r w:rsidRPr="005C346D">
        <w:rPr>
          <w:rFonts w:cstheme="minorHAnsi"/>
          <w:sz w:val="24"/>
          <w:szCs w:val="24"/>
        </w:rPr>
        <w:t xml:space="preserve"> </w:t>
      </w:r>
      <w:r w:rsidR="00A44C6C" w:rsidRPr="005C346D">
        <w:rPr>
          <w:rFonts w:cstheme="minorHAnsi"/>
          <w:sz w:val="24"/>
          <w:szCs w:val="24"/>
        </w:rPr>
        <w:t xml:space="preserve">What is the change we are trying to achieve and the evidence that </w:t>
      </w:r>
      <w:r w:rsidR="00725BF0" w:rsidRPr="005C346D">
        <w:rPr>
          <w:rFonts w:cstheme="minorHAnsi"/>
          <w:sz w:val="24"/>
          <w:szCs w:val="24"/>
        </w:rPr>
        <w:t xml:space="preserve">has </w:t>
      </w:r>
      <w:r w:rsidR="00A44C6C" w:rsidRPr="005C346D">
        <w:rPr>
          <w:rFonts w:cstheme="minorHAnsi"/>
          <w:sz w:val="24"/>
          <w:szCs w:val="24"/>
        </w:rPr>
        <w:t>inform</w:t>
      </w:r>
      <w:r w:rsidR="00725BF0" w:rsidRPr="005C346D">
        <w:rPr>
          <w:rFonts w:cstheme="minorHAnsi"/>
          <w:sz w:val="24"/>
          <w:szCs w:val="24"/>
        </w:rPr>
        <w:t>ed</w:t>
      </w:r>
      <w:r w:rsidR="00A44C6C" w:rsidRPr="005C346D">
        <w:rPr>
          <w:rFonts w:cstheme="minorHAnsi"/>
          <w:sz w:val="24"/>
          <w:szCs w:val="24"/>
        </w:rPr>
        <w:t xml:space="preserve"> this</w:t>
      </w:r>
      <w:r w:rsidR="00872A02" w:rsidRPr="005C346D">
        <w:rPr>
          <w:rFonts w:cstheme="minorHAnsi"/>
          <w:sz w:val="24"/>
          <w:szCs w:val="24"/>
        </w:rPr>
        <w:t>.</w:t>
      </w:r>
    </w:p>
    <w:p w14:paraId="33960B2E" w14:textId="29EE3E87" w:rsidR="00ED0051" w:rsidRPr="005C346D" w:rsidRDefault="00C43565" w:rsidP="00246F90">
      <w:pPr>
        <w:pStyle w:val="ListParagraph"/>
        <w:numPr>
          <w:ilvl w:val="0"/>
          <w:numId w:val="5"/>
        </w:numPr>
        <w:rPr>
          <w:rFonts w:cstheme="minorHAnsi"/>
          <w:sz w:val="24"/>
          <w:szCs w:val="24"/>
        </w:rPr>
      </w:pPr>
      <w:r w:rsidRPr="005C346D">
        <w:rPr>
          <w:rFonts w:cstheme="minorHAnsi"/>
          <w:sz w:val="24"/>
          <w:szCs w:val="24"/>
        </w:rPr>
        <w:t xml:space="preserve">What we want to do? </w:t>
      </w:r>
      <w:r w:rsidR="00B6792A" w:rsidRPr="005C346D">
        <w:rPr>
          <w:rFonts w:cstheme="minorHAnsi"/>
          <w:sz w:val="24"/>
          <w:szCs w:val="24"/>
        </w:rPr>
        <w:t xml:space="preserve">(Outcome) </w:t>
      </w:r>
      <w:r w:rsidR="00ED0051" w:rsidRPr="005C346D">
        <w:rPr>
          <w:rFonts w:cstheme="minorHAnsi"/>
          <w:sz w:val="24"/>
          <w:szCs w:val="24"/>
        </w:rPr>
        <w:t>What is the outcome we are looking to achieve at a regional scale</w:t>
      </w:r>
      <w:r w:rsidRPr="005C346D">
        <w:rPr>
          <w:rFonts w:cstheme="minorHAnsi"/>
          <w:sz w:val="24"/>
          <w:szCs w:val="24"/>
        </w:rPr>
        <w:t>.</w:t>
      </w:r>
    </w:p>
    <w:p w14:paraId="119D6FCF" w14:textId="4013AD3A" w:rsidR="00F00935" w:rsidRPr="00833114" w:rsidRDefault="00F00935" w:rsidP="00246F90">
      <w:pPr>
        <w:pStyle w:val="ListParagraph"/>
        <w:numPr>
          <w:ilvl w:val="0"/>
          <w:numId w:val="5"/>
        </w:numPr>
        <w:rPr>
          <w:rFonts w:cstheme="minorHAnsi"/>
          <w:sz w:val="24"/>
          <w:szCs w:val="24"/>
        </w:rPr>
      </w:pPr>
      <w:r w:rsidRPr="00833114">
        <w:rPr>
          <w:rFonts w:cstheme="minorHAnsi"/>
          <w:sz w:val="24"/>
          <w:szCs w:val="24"/>
        </w:rPr>
        <w:t>How are we going to do this?</w:t>
      </w:r>
      <w:r w:rsidR="008E20FB" w:rsidRPr="008E20FB">
        <w:t xml:space="preserve"> </w:t>
      </w:r>
      <w:r w:rsidR="008E20FB" w:rsidRPr="00833114">
        <w:rPr>
          <w:rFonts w:cstheme="minorHAnsi"/>
          <w:sz w:val="24"/>
          <w:szCs w:val="24"/>
        </w:rPr>
        <w:t>What are the possible outputs and activities that are required over the short (12 month), Medium (1-3 years), Long</w:t>
      </w:r>
      <w:r w:rsidR="00E30703" w:rsidRPr="00833114">
        <w:rPr>
          <w:rFonts w:cstheme="minorHAnsi"/>
          <w:sz w:val="24"/>
          <w:szCs w:val="24"/>
        </w:rPr>
        <w:t xml:space="preserve"> (4+ years) term</w:t>
      </w:r>
    </w:p>
    <w:p w14:paraId="7EE31EAF" w14:textId="1023AB5E" w:rsidR="001473D6" w:rsidRDefault="00137AB0" w:rsidP="00246F90">
      <w:pPr>
        <w:pStyle w:val="ListParagraph"/>
        <w:numPr>
          <w:ilvl w:val="0"/>
          <w:numId w:val="5"/>
        </w:numPr>
        <w:rPr>
          <w:rFonts w:cstheme="minorHAnsi"/>
          <w:sz w:val="24"/>
          <w:szCs w:val="24"/>
        </w:rPr>
      </w:pPr>
      <w:r w:rsidRPr="00833114">
        <w:rPr>
          <w:rFonts w:cstheme="minorHAnsi"/>
          <w:sz w:val="24"/>
          <w:szCs w:val="24"/>
        </w:rPr>
        <w:t>What conditions are required?</w:t>
      </w:r>
      <w:r w:rsidR="001E42EC" w:rsidRPr="001E42EC">
        <w:t xml:space="preserve"> </w:t>
      </w:r>
      <w:r w:rsidR="001E42EC" w:rsidRPr="00833114">
        <w:rPr>
          <w:rFonts w:cstheme="minorHAnsi"/>
          <w:sz w:val="24"/>
          <w:szCs w:val="24"/>
        </w:rPr>
        <w:t>What we already have</w:t>
      </w:r>
      <w:r w:rsidR="00833114" w:rsidRPr="00833114">
        <w:rPr>
          <w:rFonts w:cstheme="minorHAnsi"/>
          <w:sz w:val="24"/>
          <w:szCs w:val="24"/>
        </w:rPr>
        <w:t xml:space="preserve">, what we may need to change or anything new required. </w:t>
      </w:r>
      <w:r w:rsidR="001E42EC" w:rsidRPr="00833114">
        <w:rPr>
          <w:rFonts w:cstheme="minorHAnsi"/>
          <w:sz w:val="24"/>
          <w:szCs w:val="24"/>
        </w:rPr>
        <w:t xml:space="preserve"> </w:t>
      </w:r>
    </w:p>
    <w:p w14:paraId="65BB0025" w14:textId="672D8FD0" w:rsidR="001473D6" w:rsidRDefault="00AA1C70" w:rsidP="00246F90">
      <w:pPr>
        <w:pStyle w:val="ListParagraph"/>
        <w:numPr>
          <w:ilvl w:val="0"/>
          <w:numId w:val="5"/>
        </w:numPr>
        <w:rPr>
          <w:rFonts w:cstheme="minorHAnsi"/>
          <w:sz w:val="24"/>
          <w:szCs w:val="24"/>
        </w:rPr>
      </w:pPr>
      <w:r w:rsidRPr="00A20005">
        <w:rPr>
          <w:rFonts w:cstheme="minorHAnsi"/>
          <w:sz w:val="24"/>
          <w:szCs w:val="24"/>
        </w:rPr>
        <w:t>In addition</w:t>
      </w:r>
      <w:r w:rsidRPr="00F81F98">
        <w:rPr>
          <w:rFonts w:cstheme="minorHAnsi"/>
          <w:sz w:val="24"/>
          <w:szCs w:val="24"/>
        </w:rPr>
        <w:t xml:space="preserve">, appendix </w:t>
      </w:r>
      <w:r w:rsidR="00F81F98" w:rsidRPr="00F81F98">
        <w:rPr>
          <w:rFonts w:cstheme="minorHAnsi"/>
          <w:sz w:val="24"/>
          <w:szCs w:val="24"/>
        </w:rPr>
        <w:t>3</w:t>
      </w:r>
      <w:r w:rsidRPr="00F81F98">
        <w:rPr>
          <w:rFonts w:cstheme="minorHAnsi"/>
          <w:sz w:val="24"/>
          <w:szCs w:val="24"/>
        </w:rPr>
        <w:t xml:space="preserve"> </w:t>
      </w:r>
      <w:r w:rsidR="007C7FE5" w:rsidRPr="00F81F98">
        <w:rPr>
          <w:rFonts w:cstheme="minorHAnsi"/>
          <w:sz w:val="24"/>
          <w:szCs w:val="24"/>
        </w:rPr>
        <w:t>demonstrates</w:t>
      </w:r>
      <w:r w:rsidRPr="00A20005">
        <w:rPr>
          <w:rFonts w:cstheme="minorHAnsi"/>
          <w:sz w:val="24"/>
          <w:szCs w:val="24"/>
        </w:rPr>
        <w:t xml:space="preserve"> </w:t>
      </w:r>
      <w:r w:rsidR="007C7FE5" w:rsidRPr="00A20005">
        <w:rPr>
          <w:rFonts w:cstheme="minorHAnsi"/>
          <w:sz w:val="24"/>
          <w:szCs w:val="24"/>
        </w:rPr>
        <w:t xml:space="preserve">how these </w:t>
      </w:r>
      <w:r w:rsidR="00F050FE">
        <w:rPr>
          <w:rFonts w:cstheme="minorHAnsi"/>
          <w:sz w:val="24"/>
          <w:szCs w:val="24"/>
        </w:rPr>
        <w:t xml:space="preserve">outcomes </w:t>
      </w:r>
      <w:r w:rsidR="00016BF9" w:rsidRPr="00A20005">
        <w:rPr>
          <w:rFonts w:cstheme="minorHAnsi"/>
          <w:sz w:val="24"/>
          <w:szCs w:val="24"/>
        </w:rPr>
        <w:t xml:space="preserve">integrate </w:t>
      </w:r>
      <w:r w:rsidR="007C7FE5" w:rsidRPr="00A20005">
        <w:rPr>
          <w:rFonts w:cstheme="minorHAnsi"/>
          <w:sz w:val="24"/>
          <w:szCs w:val="24"/>
        </w:rPr>
        <w:t xml:space="preserve">with each other, </w:t>
      </w:r>
      <w:r w:rsidR="00016BF9" w:rsidRPr="00A20005">
        <w:rPr>
          <w:rFonts w:cstheme="minorHAnsi"/>
          <w:sz w:val="24"/>
          <w:szCs w:val="24"/>
        </w:rPr>
        <w:t xml:space="preserve">the well-being plan </w:t>
      </w:r>
      <w:r w:rsidR="0027408A" w:rsidRPr="00A20005">
        <w:rPr>
          <w:rFonts w:cstheme="minorHAnsi"/>
          <w:sz w:val="24"/>
          <w:szCs w:val="24"/>
        </w:rPr>
        <w:t xml:space="preserve">and Marmot principles </w:t>
      </w:r>
      <w:r w:rsidR="00A20005" w:rsidRPr="00A20005">
        <w:rPr>
          <w:rFonts w:cstheme="minorHAnsi"/>
          <w:sz w:val="24"/>
          <w:szCs w:val="24"/>
        </w:rPr>
        <w:t>(embedded in the Building a Fairer Gwent Report)</w:t>
      </w:r>
    </w:p>
    <w:p w14:paraId="42F56B9D" w14:textId="77777777" w:rsidR="007C3820" w:rsidRDefault="007C3820" w:rsidP="007C3820">
      <w:pPr>
        <w:pStyle w:val="ListParagraph"/>
        <w:rPr>
          <w:rFonts w:cstheme="minorHAnsi"/>
          <w:sz w:val="24"/>
          <w:szCs w:val="24"/>
        </w:rPr>
      </w:pPr>
    </w:p>
    <w:p w14:paraId="7B1C8959" w14:textId="5ACA5C49" w:rsidR="007C3820" w:rsidRPr="0011490D" w:rsidRDefault="007C3820" w:rsidP="00B17CD1">
      <w:pPr>
        <w:pStyle w:val="ListParagraph"/>
        <w:numPr>
          <w:ilvl w:val="1"/>
          <w:numId w:val="11"/>
        </w:numPr>
        <w:rPr>
          <w:rFonts w:cstheme="minorHAnsi"/>
          <w:sz w:val="24"/>
          <w:szCs w:val="24"/>
        </w:rPr>
      </w:pPr>
      <w:r w:rsidRPr="00B17CD1">
        <w:rPr>
          <w:rFonts w:cstheme="minorHAnsi"/>
          <w:sz w:val="24"/>
          <w:szCs w:val="24"/>
        </w:rPr>
        <w:t xml:space="preserve">The process </w:t>
      </w:r>
      <w:r w:rsidR="00157E4C" w:rsidRPr="00B17CD1">
        <w:rPr>
          <w:rFonts w:cstheme="minorHAnsi"/>
          <w:sz w:val="24"/>
          <w:szCs w:val="24"/>
        </w:rPr>
        <w:t xml:space="preserve">followed </w:t>
      </w:r>
      <w:r w:rsidR="00AF0268" w:rsidRPr="00B17CD1">
        <w:rPr>
          <w:rFonts w:cstheme="minorHAnsi"/>
          <w:sz w:val="24"/>
          <w:szCs w:val="24"/>
        </w:rPr>
        <w:t xml:space="preserve">and analysis </w:t>
      </w:r>
      <w:r w:rsidR="00157E4C" w:rsidRPr="00B17CD1">
        <w:rPr>
          <w:rFonts w:cstheme="minorHAnsi"/>
          <w:sz w:val="24"/>
          <w:szCs w:val="24"/>
        </w:rPr>
        <w:t xml:space="preserve">for each area of focus </w:t>
      </w:r>
      <w:r w:rsidR="00EC3A64" w:rsidRPr="00B17CD1">
        <w:rPr>
          <w:rFonts w:cstheme="minorHAnsi"/>
          <w:sz w:val="24"/>
          <w:szCs w:val="24"/>
        </w:rPr>
        <w:t>have</w:t>
      </w:r>
      <w:r w:rsidR="00AF0268" w:rsidRPr="00B17CD1">
        <w:rPr>
          <w:rFonts w:cstheme="minorHAnsi"/>
          <w:sz w:val="24"/>
          <w:szCs w:val="24"/>
        </w:rPr>
        <w:t xml:space="preserve"> been </w:t>
      </w:r>
      <w:r w:rsidR="00EC3A64" w:rsidRPr="00B17CD1">
        <w:rPr>
          <w:rFonts w:cstheme="minorHAnsi"/>
          <w:sz w:val="24"/>
          <w:szCs w:val="24"/>
        </w:rPr>
        <w:t xml:space="preserve">scrutinised by the PSB scrutiny committee. </w:t>
      </w:r>
      <w:r w:rsidR="00EC3A64" w:rsidRPr="0011490D">
        <w:rPr>
          <w:rFonts w:cstheme="minorHAnsi"/>
          <w:sz w:val="24"/>
          <w:szCs w:val="24"/>
        </w:rPr>
        <w:t>The</w:t>
      </w:r>
      <w:r w:rsidR="00B17CD1" w:rsidRPr="0011490D">
        <w:rPr>
          <w:rFonts w:cstheme="minorHAnsi"/>
          <w:sz w:val="24"/>
          <w:szCs w:val="24"/>
        </w:rPr>
        <w:t xml:space="preserve"> Scrutiny</w:t>
      </w:r>
      <w:r w:rsidR="00EC3A64" w:rsidRPr="0011490D">
        <w:rPr>
          <w:rFonts w:cstheme="minorHAnsi"/>
          <w:sz w:val="24"/>
          <w:szCs w:val="24"/>
        </w:rPr>
        <w:t xml:space="preserve"> </w:t>
      </w:r>
      <w:r w:rsidR="00B17CD1" w:rsidRPr="0011490D">
        <w:rPr>
          <w:rFonts w:cstheme="minorHAnsi"/>
          <w:sz w:val="24"/>
          <w:szCs w:val="24"/>
        </w:rPr>
        <w:t>C</w:t>
      </w:r>
      <w:r w:rsidR="00EC3A64" w:rsidRPr="0011490D">
        <w:rPr>
          <w:rFonts w:cstheme="minorHAnsi"/>
          <w:sz w:val="24"/>
          <w:szCs w:val="24"/>
        </w:rPr>
        <w:t>ommitte</w:t>
      </w:r>
      <w:r w:rsidR="00523D99" w:rsidRPr="0011490D">
        <w:rPr>
          <w:rFonts w:cstheme="minorHAnsi"/>
          <w:sz w:val="24"/>
          <w:szCs w:val="24"/>
        </w:rPr>
        <w:t xml:space="preserve">e </w:t>
      </w:r>
      <w:r w:rsidR="00364136" w:rsidRPr="0011490D">
        <w:rPr>
          <w:rFonts w:cstheme="minorHAnsi"/>
          <w:sz w:val="24"/>
          <w:szCs w:val="24"/>
        </w:rPr>
        <w:t>posi</w:t>
      </w:r>
      <w:r w:rsidR="00A87BC5" w:rsidRPr="0011490D">
        <w:rPr>
          <w:rFonts w:cstheme="minorHAnsi"/>
          <w:sz w:val="24"/>
          <w:szCs w:val="24"/>
        </w:rPr>
        <w:t xml:space="preserve">tively </w:t>
      </w:r>
      <w:r w:rsidR="00523D99" w:rsidRPr="0011490D">
        <w:rPr>
          <w:rFonts w:cstheme="minorHAnsi"/>
          <w:sz w:val="24"/>
          <w:szCs w:val="24"/>
        </w:rPr>
        <w:t>acknowledged the</w:t>
      </w:r>
      <w:r w:rsidR="00524401" w:rsidRPr="0011490D">
        <w:rPr>
          <w:rFonts w:cstheme="minorHAnsi"/>
          <w:sz w:val="24"/>
          <w:szCs w:val="24"/>
        </w:rPr>
        <w:t xml:space="preserve"> </w:t>
      </w:r>
      <w:r w:rsidR="00211684" w:rsidRPr="0011490D">
        <w:rPr>
          <w:rFonts w:cstheme="minorHAnsi"/>
          <w:sz w:val="24"/>
          <w:szCs w:val="24"/>
        </w:rPr>
        <w:t xml:space="preserve">work that had been undertaken to develop the </w:t>
      </w:r>
      <w:r w:rsidR="000B67F1" w:rsidRPr="0011490D">
        <w:rPr>
          <w:rFonts w:cstheme="minorHAnsi"/>
          <w:sz w:val="24"/>
          <w:szCs w:val="24"/>
        </w:rPr>
        <w:t xml:space="preserve">proposed outcomes </w:t>
      </w:r>
      <w:r w:rsidR="000D4C8A" w:rsidRPr="0011490D">
        <w:rPr>
          <w:rFonts w:cstheme="minorHAnsi"/>
          <w:sz w:val="24"/>
          <w:szCs w:val="24"/>
        </w:rPr>
        <w:t>and related activity for each area of focus.</w:t>
      </w:r>
      <w:r w:rsidR="00B876DB" w:rsidRPr="0011490D">
        <w:rPr>
          <w:rFonts w:cstheme="minorHAnsi"/>
          <w:sz w:val="24"/>
          <w:szCs w:val="24"/>
        </w:rPr>
        <w:t xml:space="preserve"> T</w:t>
      </w:r>
      <w:r w:rsidR="008A6065" w:rsidRPr="0011490D">
        <w:rPr>
          <w:rFonts w:cstheme="minorHAnsi"/>
          <w:sz w:val="24"/>
          <w:szCs w:val="24"/>
        </w:rPr>
        <w:t xml:space="preserve">he committee </w:t>
      </w:r>
      <w:r w:rsidR="00E50700" w:rsidRPr="0011490D">
        <w:rPr>
          <w:rFonts w:cstheme="minorHAnsi"/>
          <w:sz w:val="24"/>
          <w:szCs w:val="24"/>
        </w:rPr>
        <w:t xml:space="preserve">recognised </w:t>
      </w:r>
      <w:r w:rsidR="001110D7" w:rsidRPr="0011490D">
        <w:rPr>
          <w:rFonts w:cstheme="minorHAnsi"/>
          <w:sz w:val="24"/>
          <w:szCs w:val="24"/>
        </w:rPr>
        <w:t xml:space="preserve">these outcomes are part of an extensive </w:t>
      </w:r>
      <w:r w:rsidR="001E40F4" w:rsidRPr="0011490D">
        <w:rPr>
          <w:rFonts w:cstheme="minorHAnsi"/>
          <w:sz w:val="24"/>
          <w:szCs w:val="24"/>
        </w:rPr>
        <w:t xml:space="preserve">landscape of delivery at a regional, sub-regional and local basis and in </w:t>
      </w:r>
      <w:r w:rsidR="00E947F0" w:rsidRPr="0011490D">
        <w:rPr>
          <w:rFonts w:cstheme="minorHAnsi"/>
          <w:sz w:val="24"/>
          <w:szCs w:val="24"/>
        </w:rPr>
        <w:t xml:space="preserve">agreeing the outcomes to focus its delivery the PSB will need to </w:t>
      </w:r>
      <w:r w:rsidR="009A72AC" w:rsidRPr="0011490D">
        <w:rPr>
          <w:rFonts w:cstheme="minorHAnsi"/>
          <w:sz w:val="24"/>
          <w:szCs w:val="24"/>
        </w:rPr>
        <w:t>understand</w:t>
      </w:r>
      <w:r w:rsidR="00337E0C" w:rsidRPr="0011490D">
        <w:rPr>
          <w:rFonts w:cstheme="minorHAnsi"/>
          <w:sz w:val="24"/>
          <w:szCs w:val="24"/>
        </w:rPr>
        <w:t xml:space="preserve"> the role it </w:t>
      </w:r>
      <w:r w:rsidR="009A72AC" w:rsidRPr="0011490D">
        <w:rPr>
          <w:rFonts w:cstheme="minorHAnsi"/>
          <w:sz w:val="24"/>
          <w:szCs w:val="24"/>
        </w:rPr>
        <w:t>plays</w:t>
      </w:r>
      <w:r w:rsidR="00CD3377" w:rsidRPr="0011490D">
        <w:rPr>
          <w:rFonts w:cstheme="minorHAnsi"/>
          <w:sz w:val="24"/>
          <w:szCs w:val="24"/>
        </w:rPr>
        <w:t xml:space="preserve"> within this.</w:t>
      </w:r>
      <w:r w:rsidR="00830B27" w:rsidRPr="0011490D">
        <w:rPr>
          <w:rFonts w:cstheme="minorHAnsi"/>
          <w:sz w:val="24"/>
          <w:szCs w:val="24"/>
        </w:rPr>
        <w:t xml:space="preserve"> </w:t>
      </w:r>
      <w:r w:rsidR="00B876DB" w:rsidRPr="0011490D">
        <w:rPr>
          <w:rFonts w:cstheme="minorHAnsi"/>
          <w:sz w:val="24"/>
          <w:szCs w:val="24"/>
        </w:rPr>
        <w:t xml:space="preserve">They </w:t>
      </w:r>
      <w:r w:rsidR="00F3235F" w:rsidRPr="0011490D">
        <w:rPr>
          <w:rFonts w:cstheme="minorHAnsi"/>
          <w:sz w:val="24"/>
          <w:szCs w:val="24"/>
        </w:rPr>
        <w:t>also identified</w:t>
      </w:r>
      <w:r w:rsidR="00171F57" w:rsidRPr="0011490D">
        <w:rPr>
          <w:rFonts w:cstheme="minorHAnsi"/>
          <w:sz w:val="24"/>
          <w:szCs w:val="24"/>
        </w:rPr>
        <w:t xml:space="preserve"> the importance of the PSB </w:t>
      </w:r>
      <w:r w:rsidR="007F1E9D" w:rsidRPr="0011490D">
        <w:rPr>
          <w:rFonts w:cstheme="minorHAnsi"/>
          <w:sz w:val="24"/>
          <w:szCs w:val="24"/>
        </w:rPr>
        <w:t xml:space="preserve">considering a </w:t>
      </w:r>
      <w:r w:rsidR="00DA3D42" w:rsidRPr="0011490D">
        <w:rPr>
          <w:rFonts w:cstheme="minorHAnsi"/>
          <w:sz w:val="24"/>
          <w:szCs w:val="24"/>
        </w:rPr>
        <w:t>realistic</w:t>
      </w:r>
      <w:r w:rsidR="007F1E9D" w:rsidRPr="0011490D">
        <w:rPr>
          <w:rFonts w:cstheme="minorHAnsi"/>
          <w:sz w:val="24"/>
          <w:szCs w:val="24"/>
        </w:rPr>
        <w:t xml:space="preserve"> balance of regional delivery </w:t>
      </w:r>
      <w:r w:rsidR="004A11D1" w:rsidRPr="0011490D">
        <w:rPr>
          <w:rFonts w:cstheme="minorHAnsi"/>
          <w:sz w:val="24"/>
          <w:szCs w:val="24"/>
        </w:rPr>
        <w:t xml:space="preserve">in agreeing the outcomes to focus on </w:t>
      </w:r>
      <w:r w:rsidR="003525DD" w:rsidRPr="0011490D">
        <w:rPr>
          <w:rFonts w:cstheme="minorHAnsi"/>
          <w:sz w:val="24"/>
          <w:szCs w:val="24"/>
        </w:rPr>
        <w:t>to</w:t>
      </w:r>
      <w:r w:rsidR="007F1E9D" w:rsidRPr="0011490D">
        <w:rPr>
          <w:rFonts w:cstheme="minorHAnsi"/>
          <w:sz w:val="24"/>
          <w:szCs w:val="24"/>
        </w:rPr>
        <w:t xml:space="preserve"> m</w:t>
      </w:r>
      <w:r w:rsidR="00DA3D42" w:rsidRPr="0011490D">
        <w:rPr>
          <w:rFonts w:cstheme="minorHAnsi"/>
          <w:sz w:val="24"/>
          <w:szCs w:val="24"/>
        </w:rPr>
        <w:t>aximise impact within resources available. The committee</w:t>
      </w:r>
      <w:r w:rsidR="0001175C" w:rsidRPr="0011490D">
        <w:rPr>
          <w:rFonts w:cstheme="minorHAnsi"/>
          <w:sz w:val="24"/>
          <w:szCs w:val="24"/>
        </w:rPr>
        <w:t xml:space="preserve"> also</w:t>
      </w:r>
      <w:r w:rsidR="00DA3D42" w:rsidRPr="0011490D">
        <w:rPr>
          <w:rFonts w:cstheme="minorHAnsi"/>
          <w:sz w:val="24"/>
          <w:szCs w:val="24"/>
        </w:rPr>
        <w:t xml:space="preserve"> provided </w:t>
      </w:r>
      <w:r w:rsidR="00A4760B" w:rsidRPr="0011490D">
        <w:rPr>
          <w:rFonts w:cstheme="minorHAnsi"/>
          <w:sz w:val="24"/>
          <w:szCs w:val="24"/>
        </w:rPr>
        <w:t>specific feedback on</w:t>
      </w:r>
      <w:r w:rsidR="0001175C" w:rsidRPr="0011490D">
        <w:rPr>
          <w:rFonts w:cstheme="minorHAnsi"/>
          <w:sz w:val="24"/>
          <w:szCs w:val="24"/>
        </w:rPr>
        <w:t xml:space="preserve"> each</w:t>
      </w:r>
      <w:r w:rsidR="00A4760B" w:rsidRPr="0011490D">
        <w:rPr>
          <w:rFonts w:cstheme="minorHAnsi"/>
          <w:sz w:val="24"/>
          <w:szCs w:val="24"/>
        </w:rPr>
        <w:t xml:space="preserve"> area of focus </w:t>
      </w:r>
      <w:r w:rsidR="00893E77" w:rsidRPr="0011490D">
        <w:rPr>
          <w:rFonts w:cstheme="minorHAnsi"/>
          <w:sz w:val="24"/>
          <w:szCs w:val="24"/>
        </w:rPr>
        <w:t xml:space="preserve">that has been captured and </w:t>
      </w:r>
      <w:r w:rsidR="004F6362">
        <w:rPr>
          <w:rFonts w:cstheme="minorHAnsi"/>
          <w:sz w:val="24"/>
          <w:szCs w:val="24"/>
        </w:rPr>
        <w:t xml:space="preserve">they </w:t>
      </w:r>
      <w:r w:rsidR="00FB1168" w:rsidRPr="0011490D">
        <w:rPr>
          <w:rFonts w:cstheme="minorHAnsi"/>
          <w:sz w:val="24"/>
          <w:szCs w:val="24"/>
        </w:rPr>
        <w:t>would like this to be</w:t>
      </w:r>
      <w:r w:rsidR="00893E77" w:rsidRPr="0011490D">
        <w:rPr>
          <w:rFonts w:cstheme="minorHAnsi"/>
          <w:sz w:val="24"/>
          <w:szCs w:val="24"/>
        </w:rPr>
        <w:t xml:space="preserve"> considered as part </w:t>
      </w:r>
      <w:r w:rsidR="004766C3" w:rsidRPr="0011490D">
        <w:rPr>
          <w:rFonts w:cstheme="minorHAnsi"/>
          <w:sz w:val="24"/>
          <w:szCs w:val="24"/>
        </w:rPr>
        <w:t>of the further development of delivery for the outcomes</w:t>
      </w:r>
      <w:r w:rsidR="00297021" w:rsidRPr="0011490D">
        <w:rPr>
          <w:rFonts w:cstheme="minorHAnsi"/>
          <w:sz w:val="24"/>
          <w:szCs w:val="24"/>
        </w:rPr>
        <w:t>, including:</w:t>
      </w:r>
    </w:p>
    <w:p w14:paraId="2039D45D" w14:textId="633C398B" w:rsidR="00B40432" w:rsidRPr="0011490D" w:rsidRDefault="00B40432" w:rsidP="0013127C">
      <w:pPr>
        <w:pStyle w:val="ListParagraph"/>
        <w:numPr>
          <w:ilvl w:val="0"/>
          <w:numId w:val="14"/>
        </w:numPr>
        <w:rPr>
          <w:rFonts w:cstheme="minorHAnsi"/>
          <w:sz w:val="24"/>
          <w:szCs w:val="24"/>
        </w:rPr>
      </w:pPr>
      <w:r w:rsidRPr="0011490D">
        <w:rPr>
          <w:rFonts w:cstheme="minorHAnsi"/>
          <w:b/>
          <w:bCs/>
          <w:sz w:val="24"/>
          <w:szCs w:val="24"/>
        </w:rPr>
        <w:t>Every child has the best start in life</w:t>
      </w:r>
      <w:r w:rsidRPr="0011490D">
        <w:rPr>
          <w:rFonts w:cstheme="minorHAnsi"/>
          <w:sz w:val="24"/>
          <w:szCs w:val="24"/>
        </w:rPr>
        <w:t xml:space="preserve">: </w:t>
      </w:r>
      <w:r w:rsidR="000821DF" w:rsidRPr="0011490D">
        <w:rPr>
          <w:rFonts w:cstheme="minorHAnsi"/>
          <w:sz w:val="24"/>
          <w:szCs w:val="24"/>
        </w:rPr>
        <w:t xml:space="preserve">Consideration of </w:t>
      </w:r>
      <w:r w:rsidRPr="0011490D">
        <w:rPr>
          <w:rFonts w:cstheme="minorHAnsi"/>
          <w:sz w:val="24"/>
          <w:szCs w:val="24"/>
        </w:rPr>
        <w:t xml:space="preserve">early years integration, </w:t>
      </w:r>
      <w:r w:rsidR="00163DA7" w:rsidRPr="0011490D">
        <w:rPr>
          <w:rFonts w:cstheme="minorHAnsi"/>
          <w:sz w:val="24"/>
          <w:szCs w:val="24"/>
        </w:rPr>
        <w:t>postcode restriction</w:t>
      </w:r>
      <w:r w:rsidR="00081970" w:rsidRPr="0011490D">
        <w:rPr>
          <w:rFonts w:cstheme="minorHAnsi"/>
          <w:sz w:val="24"/>
          <w:szCs w:val="24"/>
        </w:rPr>
        <w:t xml:space="preserve">s, capacity of </w:t>
      </w:r>
      <w:r w:rsidRPr="0011490D">
        <w:rPr>
          <w:rFonts w:cstheme="minorHAnsi"/>
          <w:sz w:val="24"/>
          <w:szCs w:val="24"/>
        </w:rPr>
        <w:t xml:space="preserve">health visitors </w:t>
      </w:r>
      <w:r w:rsidR="00B91BA2" w:rsidRPr="0011490D">
        <w:rPr>
          <w:rFonts w:cstheme="minorHAnsi"/>
          <w:sz w:val="24"/>
          <w:szCs w:val="24"/>
        </w:rPr>
        <w:t>and strengthening</w:t>
      </w:r>
      <w:r w:rsidR="00081970" w:rsidRPr="0011490D">
        <w:rPr>
          <w:rFonts w:cstheme="minorHAnsi"/>
          <w:sz w:val="24"/>
          <w:szCs w:val="24"/>
        </w:rPr>
        <w:t xml:space="preserve"> </w:t>
      </w:r>
      <w:r w:rsidRPr="0011490D">
        <w:rPr>
          <w:rFonts w:cstheme="minorHAnsi"/>
          <w:sz w:val="24"/>
          <w:szCs w:val="24"/>
        </w:rPr>
        <w:t xml:space="preserve">links with schools. </w:t>
      </w:r>
    </w:p>
    <w:p w14:paraId="5AA4020C" w14:textId="7B668F9D" w:rsidR="00B40432" w:rsidRPr="0011490D" w:rsidRDefault="00B40432" w:rsidP="00D50E00">
      <w:pPr>
        <w:pStyle w:val="ListParagraph"/>
        <w:numPr>
          <w:ilvl w:val="0"/>
          <w:numId w:val="14"/>
        </w:numPr>
        <w:rPr>
          <w:rFonts w:cstheme="minorHAnsi"/>
          <w:sz w:val="24"/>
          <w:szCs w:val="24"/>
        </w:rPr>
      </w:pPr>
      <w:r w:rsidRPr="0011490D">
        <w:rPr>
          <w:rFonts w:cstheme="minorHAnsi"/>
          <w:b/>
          <w:bCs/>
          <w:sz w:val="24"/>
          <w:szCs w:val="24"/>
        </w:rPr>
        <w:t>Everyone lives in a place they feel safe</w:t>
      </w:r>
      <w:r w:rsidRPr="0011490D">
        <w:rPr>
          <w:rFonts w:cstheme="minorHAnsi"/>
          <w:sz w:val="24"/>
          <w:szCs w:val="24"/>
        </w:rPr>
        <w:t>:</w:t>
      </w:r>
      <w:r w:rsidR="00D64E8F" w:rsidRPr="0011490D">
        <w:rPr>
          <w:rFonts w:cstheme="minorHAnsi"/>
          <w:sz w:val="24"/>
          <w:szCs w:val="24"/>
        </w:rPr>
        <w:t xml:space="preserve"> Request to include town and community </w:t>
      </w:r>
      <w:r w:rsidR="009F557B" w:rsidRPr="0011490D">
        <w:rPr>
          <w:rFonts w:cstheme="minorHAnsi"/>
          <w:sz w:val="24"/>
          <w:szCs w:val="24"/>
        </w:rPr>
        <w:t>councils</w:t>
      </w:r>
      <w:r w:rsidR="00D64E8F" w:rsidRPr="0011490D">
        <w:rPr>
          <w:rFonts w:cstheme="minorHAnsi"/>
          <w:sz w:val="24"/>
          <w:szCs w:val="24"/>
        </w:rPr>
        <w:t xml:space="preserve"> in the role out of an</w:t>
      </w:r>
      <w:r w:rsidR="005C203B" w:rsidRPr="0011490D">
        <w:rPr>
          <w:rFonts w:cstheme="minorHAnsi"/>
          <w:sz w:val="24"/>
          <w:szCs w:val="24"/>
        </w:rPr>
        <w:t xml:space="preserve">y </w:t>
      </w:r>
      <w:r w:rsidR="00D64E8F" w:rsidRPr="0011490D">
        <w:rPr>
          <w:rFonts w:cstheme="minorHAnsi"/>
          <w:sz w:val="24"/>
          <w:szCs w:val="24"/>
        </w:rPr>
        <w:t>training and considering a s</w:t>
      </w:r>
      <w:r w:rsidR="005C203B" w:rsidRPr="0011490D">
        <w:rPr>
          <w:rFonts w:cstheme="minorHAnsi"/>
          <w:sz w:val="24"/>
          <w:szCs w:val="24"/>
        </w:rPr>
        <w:t>pecific</w:t>
      </w:r>
      <w:r w:rsidR="00D64E8F" w:rsidRPr="0011490D">
        <w:rPr>
          <w:rFonts w:cstheme="minorHAnsi"/>
          <w:sz w:val="24"/>
          <w:szCs w:val="24"/>
        </w:rPr>
        <w:t xml:space="preserve"> focus on </w:t>
      </w:r>
      <w:r w:rsidR="005C203B" w:rsidRPr="0011490D">
        <w:rPr>
          <w:rFonts w:cstheme="minorHAnsi"/>
          <w:sz w:val="24"/>
          <w:szCs w:val="24"/>
        </w:rPr>
        <w:t xml:space="preserve">schools. </w:t>
      </w:r>
    </w:p>
    <w:p w14:paraId="6594A443" w14:textId="771B62A2" w:rsidR="00B40432" w:rsidRPr="0011490D" w:rsidRDefault="00B40432" w:rsidP="0013127C">
      <w:pPr>
        <w:pStyle w:val="ListParagraph"/>
        <w:numPr>
          <w:ilvl w:val="0"/>
          <w:numId w:val="14"/>
        </w:numPr>
        <w:rPr>
          <w:rFonts w:cstheme="minorHAnsi"/>
          <w:sz w:val="24"/>
          <w:szCs w:val="24"/>
        </w:rPr>
      </w:pPr>
      <w:r w:rsidRPr="0011490D">
        <w:rPr>
          <w:rFonts w:cstheme="minorHAnsi"/>
          <w:b/>
          <w:bCs/>
          <w:sz w:val="24"/>
          <w:szCs w:val="24"/>
        </w:rPr>
        <w:t>Everyone has the same economic chances</w:t>
      </w:r>
      <w:r w:rsidR="00923397" w:rsidRPr="0011490D">
        <w:rPr>
          <w:rFonts w:cstheme="minorHAnsi"/>
          <w:sz w:val="24"/>
          <w:szCs w:val="24"/>
        </w:rPr>
        <w:t xml:space="preserve">: </w:t>
      </w:r>
      <w:r w:rsidR="0046782D">
        <w:rPr>
          <w:rFonts w:cstheme="minorHAnsi"/>
          <w:sz w:val="24"/>
          <w:szCs w:val="24"/>
        </w:rPr>
        <w:t>C</w:t>
      </w:r>
      <w:r w:rsidR="0074767D" w:rsidRPr="0011490D">
        <w:rPr>
          <w:rFonts w:cstheme="minorHAnsi"/>
          <w:sz w:val="24"/>
          <w:szCs w:val="24"/>
        </w:rPr>
        <w:t>larification is required around the function and responsibili</w:t>
      </w:r>
      <w:r w:rsidR="000B4E49" w:rsidRPr="0011490D">
        <w:rPr>
          <w:rFonts w:cstheme="minorHAnsi"/>
          <w:sz w:val="24"/>
          <w:szCs w:val="24"/>
        </w:rPr>
        <w:t>ties of the CCR</w:t>
      </w:r>
      <w:r w:rsidR="005E4042" w:rsidRPr="0011490D">
        <w:rPr>
          <w:rFonts w:cstheme="minorHAnsi"/>
          <w:sz w:val="24"/>
          <w:szCs w:val="24"/>
        </w:rPr>
        <w:t xml:space="preserve">/CJC and PSB </w:t>
      </w:r>
      <w:r w:rsidRPr="0011490D">
        <w:rPr>
          <w:rFonts w:cstheme="minorHAnsi"/>
          <w:sz w:val="24"/>
          <w:szCs w:val="24"/>
        </w:rPr>
        <w:t xml:space="preserve">to avoid duplication and gaps </w:t>
      </w:r>
      <w:r w:rsidR="005E4042" w:rsidRPr="0011490D">
        <w:rPr>
          <w:rFonts w:cstheme="minorHAnsi"/>
          <w:sz w:val="24"/>
          <w:szCs w:val="24"/>
        </w:rPr>
        <w:t>in delivery.</w:t>
      </w:r>
    </w:p>
    <w:p w14:paraId="3604CBDB" w14:textId="19517827" w:rsidR="00B40432" w:rsidRPr="0011490D" w:rsidRDefault="00B40432" w:rsidP="0013127C">
      <w:pPr>
        <w:pStyle w:val="ListParagraph"/>
        <w:numPr>
          <w:ilvl w:val="0"/>
          <w:numId w:val="14"/>
        </w:numPr>
        <w:rPr>
          <w:rFonts w:cstheme="minorHAnsi"/>
          <w:sz w:val="24"/>
          <w:szCs w:val="24"/>
        </w:rPr>
      </w:pPr>
      <w:r w:rsidRPr="0011490D">
        <w:rPr>
          <w:rFonts w:cstheme="minorHAnsi"/>
          <w:b/>
          <w:bCs/>
          <w:sz w:val="24"/>
          <w:szCs w:val="24"/>
        </w:rPr>
        <w:t>Everyone lives in a climate ready community</w:t>
      </w:r>
      <w:r w:rsidRPr="0011490D">
        <w:rPr>
          <w:rFonts w:cstheme="minorHAnsi"/>
          <w:sz w:val="24"/>
          <w:szCs w:val="24"/>
        </w:rPr>
        <w:t xml:space="preserve">: </w:t>
      </w:r>
      <w:r w:rsidR="0052658E" w:rsidRPr="0011490D">
        <w:rPr>
          <w:rFonts w:cstheme="minorHAnsi"/>
          <w:sz w:val="24"/>
          <w:szCs w:val="24"/>
        </w:rPr>
        <w:t xml:space="preserve">Consideration of how this work will support climate mitigation, with a view to </w:t>
      </w:r>
      <w:r w:rsidR="00556C35" w:rsidRPr="0011490D">
        <w:rPr>
          <w:rFonts w:cstheme="minorHAnsi"/>
          <w:sz w:val="24"/>
          <w:szCs w:val="24"/>
        </w:rPr>
        <w:t>supporting public bodies</w:t>
      </w:r>
      <w:r w:rsidR="005E1979">
        <w:rPr>
          <w:rFonts w:cstheme="minorHAnsi"/>
          <w:sz w:val="24"/>
          <w:szCs w:val="24"/>
        </w:rPr>
        <w:t xml:space="preserve"> to net zero ca</w:t>
      </w:r>
      <w:r w:rsidR="00556C35" w:rsidRPr="0011490D">
        <w:rPr>
          <w:rFonts w:cstheme="minorHAnsi"/>
          <w:sz w:val="24"/>
          <w:szCs w:val="24"/>
        </w:rPr>
        <w:t xml:space="preserve">rbon. </w:t>
      </w:r>
      <w:r w:rsidRPr="0011490D">
        <w:rPr>
          <w:rFonts w:cstheme="minorHAnsi"/>
          <w:sz w:val="24"/>
          <w:szCs w:val="24"/>
        </w:rPr>
        <w:t xml:space="preserve"> </w:t>
      </w:r>
    </w:p>
    <w:p w14:paraId="13F27931" w14:textId="40C0AADD" w:rsidR="00297021" w:rsidRPr="0011490D" w:rsidRDefault="00B40432" w:rsidP="0013127C">
      <w:pPr>
        <w:pStyle w:val="ListParagraph"/>
        <w:numPr>
          <w:ilvl w:val="0"/>
          <w:numId w:val="14"/>
        </w:numPr>
        <w:rPr>
          <w:rFonts w:cstheme="minorHAnsi"/>
          <w:sz w:val="24"/>
          <w:szCs w:val="24"/>
        </w:rPr>
      </w:pPr>
      <w:r w:rsidRPr="0011490D">
        <w:rPr>
          <w:rFonts w:cstheme="minorHAnsi"/>
          <w:b/>
          <w:bCs/>
          <w:sz w:val="24"/>
          <w:szCs w:val="24"/>
        </w:rPr>
        <w:lastRenderedPageBreak/>
        <w:t>Food partnership:</w:t>
      </w:r>
      <w:r w:rsidRPr="0011490D">
        <w:rPr>
          <w:rFonts w:cstheme="minorHAnsi"/>
          <w:sz w:val="24"/>
          <w:szCs w:val="24"/>
        </w:rPr>
        <w:t xml:space="preserve"> </w:t>
      </w:r>
      <w:r w:rsidR="00DA5F63" w:rsidRPr="0011490D">
        <w:rPr>
          <w:rFonts w:cstheme="minorHAnsi"/>
          <w:sz w:val="24"/>
          <w:szCs w:val="24"/>
        </w:rPr>
        <w:t>Consideration of</w:t>
      </w:r>
      <w:r w:rsidRPr="0011490D">
        <w:rPr>
          <w:rFonts w:cstheme="minorHAnsi"/>
          <w:sz w:val="24"/>
          <w:szCs w:val="24"/>
        </w:rPr>
        <w:t xml:space="preserve"> local issues and needs, and to involve farmers and growers as key partners.</w:t>
      </w:r>
      <w:r w:rsidR="00DA5F63" w:rsidRPr="0011490D">
        <w:rPr>
          <w:rFonts w:cstheme="minorHAnsi"/>
          <w:sz w:val="24"/>
          <w:szCs w:val="24"/>
        </w:rPr>
        <w:t xml:space="preserve"> </w:t>
      </w:r>
    </w:p>
    <w:p w14:paraId="01D4793F" w14:textId="77777777" w:rsidR="00A20005" w:rsidRPr="00A20005" w:rsidRDefault="00A20005" w:rsidP="00A20005">
      <w:pPr>
        <w:pStyle w:val="ListParagraph"/>
        <w:rPr>
          <w:rFonts w:cstheme="minorHAnsi"/>
          <w:sz w:val="24"/>
          <w:szCs w:val="24"/>
        </w:rPr>
      </w:pPr>
    </w:p>
    <w:p w14:paraId="628CE4C7" w14:textId="0D2465FE" w:rsidR="00CC0484" w:rsidRDefault="00741507" w:rsidP="00B17CD1">
      <w:pPr>
        <w:pStyle w:val="ListParagraph"/>
        <w:numPr>
          <w:ilvl w:val="1"/>
          <w:numId w:val="11"/>
        </w:numPr>
        <w:rPr>
          <w:rFonts w:cstheme="minorHAnsi"/>
          <w:sz w:val="24"/>
          <w:szCs w:val="24"/>
        </w:rPr>
      </w:pPr>
      <w:r w:rsidRPr="00F4474C">
        <w:rPr>
          <w:rFonts w:cstheme="minorHAnsi"/>
          <w:sz w:val="24"/>
          <w:szCs w:val="24"/>
        </w:rPr>
        <w:t>Th</w:t>
      </w:r>
      <w:r w:rsidR="005121F8" w:rsidRPr="00F4474C">
        <w:rPr>
          <w:rFonts w:cstheme="minorHAnsi"/>
          <w:sz w:val="24"/>
          <w:szCs w:val="24"/>
        </w:rPr>
        <w:t>is</w:t>
      </w:r>
      <w:r w:rsidRPr="00F4474C">
        <w:rPr>
          <w:rFonts w:cstheme="minorHAnsi"/>
          <w:sz w:val="24"/>
          <w:szCs w:val="24"/>
        </w:rPr>
        <w:t xml:space="preserve"> provide</w:t>
      </w:r>
      <w:r w:rsidR="005121F8" w:rsidRPr="00F4474C">
        <w:rPr>
          <w:rFonts w:cstheme="minorHAnsi"/>
          <w:sz w:val="24"/>
          <w:szCs w:val="24"/>
        </w:rPr>
        <w:t>s</w:t>
      </w:r>
      <w:r w:rsidRPr="00F4474C">
        <w:rPr>
          <w:rFonts w:cstheme="minorHAnsi"/>
          <w:sz w:val="24"/>
          <w:szCs w:val="24"/>
        </w:rPr>
        <w:t xml:space="preserve"> the PSB with options </w:t>
      </w:r>
      <w:r w:rsidR="00A31501" w:rsidRPr="00F4474C">
        <w:rPr>
          <w:rFonts w:cstheme="minorHAnsi"/>
          <w:sz w:val="24"/>
          <w:szCs w:val="24"/>
        </w:rPr>
        <w:t>on</w:t>
      </w:r>
      <w:r w:rsidRPr="00F4474C">
        <w:rPr>
          <w:rFonts w:cstheme="minorHAnsi"/>
          <w:sz w:val="24"/>
          <w:szCs w:val="24"/>
        </w:rPr>
        <w:t xml:space="preserve"> the outcomes </w:t>
      </w:r>
      <w:r w:rsidR="009D2FBC" w:rsidRPr="00F4474C">
        <w:rPr>
          <w:rFonts w:cstheme="minorHAnsi"/>
          <w:sz w:val="24"/>
          <w:szCs w:val="24"/>
        </w:rPr>
        <w:t>to focus its activity</w:t>
      </w:r>
      <w:r w:rsidR="00924811" w:rsidRPr="00F4474C">
        <w:rPr>
          <w:rFonts w:cstheme="minorHAnsi"/>
          <w:sz w:val="24"/>
          <w:szCs w:val="24"/>
        </w:rPr>
        <w:t xml:space="preserve">. The </w:t>
      </w:r>
      <w:r w:rsidR="00F32BC7" w:rsidRPr="00F4474C">
        <w:rPr>
          <w:rFonts w:cstheme="minorHAnsi"/>
          <w:sz w:val="24"/>
          <w:szCs w:val="24"/>
        </w:rPr>
        <w:t xml:space="preserve">PSB </w:t>
      </w:r>
      <w:r w:rsidR="00D36682" w:rsidRPr="00F4474C">
        <w:rPr>
          <w:rFonts w:cstheme="minorHAnsi"/>
          <w:sz w:val="24"/>
          <w:szCs w:val="24"/>
        </w:rPr>
        <w:t xml:space="preserve">needs to ensure its activity is focussed on the outcomes that </w:t>
      </w:r>
      <w:r w:rsidR="00AB56A7" w:rsidRPr="00F4474C">
        <w:rPr>
          <w:rFonts w:cstheme="minorHAnsi"/>
          <w:sz w:val="24"/>
          <w:szCs w:val="24"/>
        </w:rPr>
        <w:t xml:space="preserve">meets </w:t>
      </w:r>
      <w:r w:rsidR="005121F8" w:rsidRPr="00F4474C">
        <w:rPr>
          <w:rFonts w:cstheme="minorHAnsi"/>
          <w:sz w:val="24"/>
          <w:szCs w:val="24"/>
        </w:rPr>
        <w:t>its</w:t>
      </w:r>
      <w:r w:rsidR="00AB56A7" w:rsidRPr="00F4474C">
        <w:rPr>
          <w:rFonts w:cstheme="minorHAnsi"/>
          <w:sz w:val="24"/>
          <w:szCs w:val="24"/>
        </w:rPr>
        <w:t xml:space="preserve"> ambition and provides </w:t>
      </w:r>
      <w:r w:rsidR="00115A80" w:rsidRPr="00F4474C">
        <w:rPr>
          <w:rFonts w:cstheme="minorHAnsi"/>
          <w:sz w:val="24"/>
          <w:szCs w:val="24"/>
        </w:rPr>
        <w:t xml:space="preserve">sufficient focus of its leadership. </w:t>
      </w:r>
      <w:r w:rsidR="000B545D" w:rsidRPr="00F9452A">
        <w:rPr>
          <w:rFonts w:cstheme="minorHAnsi"/>
          <w:sz w:val="24"/>
          <w:szCs w:val="24"/>
        </w:rPr>
        <w:t>T</w:t>
      </w:r>
      <w:r w:rsidR="00115A80" w:rsidRPr="00F9452A">
        <w:rPr>
          <w:rFonts w:cstheme="minorHAnsi"/>
          <w:sz w:val="24"/>
          <w:szCs w:val="24"/>
        </w:rPr>
        <w:t xml:space="preserve">he PSB </w:t>
      </w:r>
      <w:r w:rsidR="00E562CA" w:rsidRPr="00F9452A">
        <w:rPr>
          <w:rFonts w:cstheme="minorHAnsi"/>
          <w:sz w:val="24"/>
          <w:szCs w:val="24"/>
        </w:rPr>
        <w:t>may</w:t>
      </w:r>
      <w:r w:rsidR="00115A80" w:rsidRPr="00F9452A">
        <w:rPr>
          <w:rFonts w:cstheme="minorHAnsi"/>
          <w:sz w:val="24"/>
          <w:szCs w:val="24"/>
        </w:rPr>
        <w:t xml:space="preserve"> need to </w:t>
      </w:r>
      <w:r w:rsidR="005121F8" w:rsidRPr="00F9452A">
        <w:rPr>
          <w:rFonts w:cstheme="minorHAnsi"/>
          <w:sz w:val="24"/>
          <w:szCs w:val="24"/>
        </w:rPr>
        <w:t xml:space="preserve">prioritise </w:t>
      </w:r>
      <w:r w:rsidR="007A1A66" w:rsidRPr="00F9452A">
        <w:rPr>
          <w:rFonts w:cstheme="minorHAnsi"/>
          <w:sz w:val="24"/>
          <w:szCs w:val="24"/>
        </w:rPr>
        <w:t xml:space="preserve">a smaller number of these outcomes </w:t>
      </w:r>
      <w:r w:rsidR="00A46492" w:rsidRPr="00F9452A">
        <w:rPr>
          <w:rFonts w:cstheme="minorHAnsi"/>
          <w:sz w:val="24"/>
          <w:szCs w:val="24"/>
        </w:rPr>
        <w:t>and/or</w:t>
      </w:r>
      <w:r w:rsidR="00B57D6B" w:rsidRPr="00F9452A">
        <w:rPr>
          <w:rFonts w:cstheme="minorHAnsi"/>
          <w:sz w:val="24"/>
          <w:szCs w:val="24"/>
        </w:rPr>
        <w:t xml:space="preserve"> sequence </w:t>
      </w:r>
      <w:r w:rsidR="006D6E79" w:rsidRPr="00F9452A">
        <w:rPr>
          <w:rFonts w:cstheme="minorHAnsi"/>
          <w:sz w:val="24"/>
          <w:szCs w:val="24"/>
        </w:rPr>
        <w:t>delivery over t</w:t>
      </w:r>
      <w:r w:rsidR="000D435A" w:rsidRPr="00F9452A">
        <w:rPr>
          <w:rFonts w:cstheme="minorHAnsi"/>
          <w:sz w:val="24"/>
          <w:szCs w:val="24"/>
        </w:rPr>
        <w:t>ime</w:t>
      </w:r>
      <w:r w:rsidR="000D435A">
        <w:rPr>
          <w:rFonts w:cstheme="minorHAnsi"/>
          <w:sz w:val="24"/>
          <w:szCs w:val="24"/>
        </w:rPr>
        <w:t xml:space="preserve"> to</w:t>
      </w:r>
      <w:r w:rsidR="005121F8" w:rsidRPr="00F4474C">
        <w:rPr>
          <w:rFonts w:cstheme="minorHAnsi"/>
          <w:sz w:val="24"/>
          <w:szCs w:val="24"/>
        </w:rPr>
        <w:t xml:space="preserve"> maximise the impact it can make. </w:t>
      </w:r>
      <w:r w:rsidR="007A1A66" w:rsidRPr="00F4474C">
        <w:rPr>
          <w:rFonts w:cstheme="minorHAnsi"/>
          <w:sz w:val="24"/>
          <w:szCs w:val="24"/>
        </w:rPr>
        <w:t xml:space="preserve">In doing so it is </w:t>
      </w:r>
      <w:r w:rsidR="005121F8" w:rsidRPr="00F4474C">
        <w:rPr>
          <w:rFonts w:cstheme="minorHAnsi"/>
          <w:sz w:val="24"/>
          <w:szCs w:val="24"/>
        </w:rPr>
        <w:t>important</w:t>
      </w:r>
      <w:r w:rsidR="00A9575D" w:rsidRPr="00F4474C">
        <w:rPr>
          <w:rFonts w:cstheme="minorHAnsi"/>
          <w:sz w:val="24"/>
          <w:szCs w:val="24"/>
        </w:rPr>
        <w:t xml:space="preserve"> to recognise the </w:t>
      </w:r>
      <w:r w:rsidR="005121F8" w:rsidRPr="00F4474C">
        <w:rPr>
          <w:rFonts w:cstheme="minorHAnsi"/>
          <w:sz w:val="24"/>
          <w:szCs w:val="24"/>
        </w:rPr>
        <w:t>integration</w:t>
      </w:r>
      <w:r w:rsidR="00A9575D" w:rsidRPr="00F4474C">
        <w:rPr>
          <w:rFonts w:cstheme="minorHAnsi"/>
          <w:sz w:val="24"/>
          <w:szCs w:val="24"/>
        </w:rPr>
        <w:t xml:space="preserve"> that exists between outcomes</w:t>
      </w:r>
      <w:r w:rsidR="004D54FA" w:rsidRPr="00F4474C">
        <w:rPr>
          <w:rFonts w:cstheme="minorHAnsi"/>
          <w:sz w:val="24"/>
          <w:szCs w:val="24"/>
        </w:rPr>
        <w:t xml:space="preserve">. </w:t>
      </w:r>
      <w:r w:rsidR="005B1A70" w:rsidRPr="00F4474C">
        <w:rPr>
          <w:rFonts w:cstheme="minorHAnsi"/>
          <w:sz w:val="24"/>
          <w:szCs w:val="24"/>
        </w:rPr>
        <w:t>The analysis of any</w:t>
      </w:r>
      <w:r w:rsidR="00A9575D" w:rsidRPr="00F4474C">
        <w:rPr>
          <w:rFonts w:cstheme="minorHAnsi"/>
          <w:sz w:val="24"/>
          <w:szCs w:val="24"/>
        </w:rPr>
        <w:t xml:space="preserve"> outcome</w:t>
      </w:r>
      <w:r w:rsidR="005B1A70" w:rsidRPr="00F4474C">
        <w:rPr>
          <w:rFonts w:cstheme="minorHAnsi"/>
          <w:sz w:val="24"/>
          <w:szCs w:val="24"/>
        </w:rPr>
        <w:t>s that aren’t chosen as a priority</w:t>
      </w:r>
      <w:r w:rsidR="004E6E25" w:rsidRPr="00F4474C">
        <w:rPr>
          <w:rFonts w:cstheme="minorHAnsi"/>
          <w:sz w:val="24"/>
          <w:szCs w:val="24"/>
        </w:rPr>
        <w:t xml:space="preserve"> will be used to inform the </w:t>
      </w:r>
      <w:r w:rsidR="002643C4" w:rsidRPr="00F4474C">
        <w:rPr>
          <w:rFonts w:cstheme="minorHAnsi"/>
          <w:sz w:val="24"/>
          <w:szCs w:val="24"/>
        </w:rPr>
        <w:t>ongoing work required</w:t>
      </w:r>
      <w:r w:rsidR="00663BBA" w:rsidRPr="00F4474C">
        <w:rPr>
          <w:rFonts w:cstheme="minorHAnsi"/>
          <w:sz w:val="24"/>
          <w:szCs w:val="24"/>
        </w:rPr>
        <w:t xml:space="preserve">. </w:t>
      </w:r>
      <w:r w:rsidR="00EC2BE0" w:rsidRPr="00F4474C">
        <w:rPr>
          <w:rFonts w:cstheme="minorHAnsi"/>
          <w:sz w:val="24"/>
          <w:szCs w:val="24"/>
        </w:rPr>
        <w:t xml:space="preserve">Following the decision made by the PSB </w:t>
      </w:r>
      <w:r w:rsidR="00D47166" w:rsidRPr="00F4474C">
        <w:rPr>
          <w:rFonts w:cstheme="minorHAnsi"/>
          <w:sz w:val="24"/>
          <w:szCs w:val="24"/>
        </w:rPr>
        <w:t xml:space="preserve">this will also </w:t>
      </w:r>
      <w:r w:rsidR="00C022ED" w:rsidRPr="00F4474C">
        <w:rPr>
          <w:rFonts w:cstheme="minorHAnsi"/>
          <w:sz w:val="24"/>
          <w:szCs w:val="24"/>
        </w:rPr>
        <w:t xml:space="preserve">inform </w:t>
      </w:r>
      <w:r w:rsidR="004E6E25" w:rsidRPr="00F4474C">
        <w:rPr>
          <w:rFonts w:cstheme="minorHAnsi"/>
          <w:sz w:val="24"/>
          <w:szCs w:val="24"/>
        </w:rPr>
        <w:t>further work sub regionally or locally</w:t>
      </w:r>
      <w:r w:rsidR="0082114B" w:rsidRPr="00F4474C">
        <w:rPr>
          <w:rFonts w:cstheme="minorHAnsi"/>
          <w:sz w:val="24"/>
          <w:szCs w:val="24"/>
        </w:rPr>
        <w:t xml:space="preserve">. </w:t>
      </w:r>
      <w:r w:rsidR="006A3564" w:rsidRPr="00F4474C">
        <w:rPr>
          <w:rFonts w:cstheme="minorHAnsi"/>
          <w:sz w:val="24"/>
          <w:szCs w:val="24"/>
        </w:rPr>
        <w:t xml:space="preserve">Other outcomes </w:t>
      </w:r>
      <w:r w:rsidR="00844532" w:rsidRPr="00F4474C">
        <w:rPr>
          <w:rFonts w:cstheme="minorHAnsi"/>
          <w:sz w:val="24"/>
          <w:szCs w:val="24"/>
        </w:rPr>
        <w:t>may</w:t>
      </w:r>
      <w:r w:rsidR="004E6E25" w:rsidRPr="00F4474C">
        <w:rPr>
          <w:rFonts w:cstheme="minorHAnsi"/>
          <w:sz w:val="24"/>
          <w:szCs w:val="24"/>
        </w:rPr>
        <w:t xml:space="preserve"> also be </w:t>
      </w:r>
      <w:r w:rsidR="00900076" w:rsidRPr="00F4474C">
        <w:rPr>
          <w:rFonts w:cstheme="minorHAnsi"/>
          <w:sz w:val="24"/>
          <w:szCs w:val="24"/>
        </w:rPr>
        <w:t xml:space="preserve">sequenced for </w:t>
      </w:r>
      <w:r w:rsidR="009542D2" w:rsidRPr="00F4474C">
        <w:rPr>
          <w:rFonts w:cstheme="minorHAnsi"/>
          <w:sz w:val="24"/>
          <w:szCs w:val="24"/>
        </w:rPr>
        <w:t>prioritisation</w:t>
      </w:r>
      <w:r w:rsidR="00900076" w:rsidRPr="00F4474C">
        <w:rPr>
          <w:rFonts w:cstheme="minorHAnsi"/>
          <w:sz w:val="24"/>
          <w:szCs w:val="24"/>
        </w:rPr>
        <w:t xml:space="preserve"> in future</w:t>
      </w:r>
      <w:r w:rsidR="00C13A19" w:rsidRPr="00F4474C">
        <w:rPr>
          <w:rFonts w:cstheme="minorHAnsi"/>
          <w:sz w:val="24"/>
          <w:szCs w:val="24"/>
        </w:rPr>
        <w:t xml:space="preserve"> by the PSB.</w:t>
      </w:r>
    </w:p>
    <w:p w14:paraId="22BF1006" w14:textId="77777777" w:rsidR="00446F1C" w:rsidRPr="00446F1C" w:rsidRDefault="00446F1C" w:rsidP="00446F1C">
      <w:pPr>
        <w:pStyle w:val="ListParagraph"/>
        <w:rPr>
          <w:rFonts w:cstheme="minorHAnsi"/>
          <w:sz w:val="24"/>
          <w:szCs w:val="24"/>
        </w:rPr>
      </w:pPr>
    </w:p>
    <w:p w14:paraId="3049BA37" w14:textId="1EC32EBA" w:rsidR="009542D2" w:rsidRPr="00C655A2" w:rsidRDefault="00446F1C" w:rsidP="00E90208">
      <w:pPr>
        <w:pStyle w:val="ListParagraph"/>
        <w:numPr>
          <w:ilvl w:val="1"/>
          <w:numId w:val="11"/>
        </w:numPr>
        <w:rPr>
          <w:rFonts w:cstheme="minorHAnsi"/>
          <w:sz w:val="24"/>
          <w:szCs w:val="24"/>
        </w:rPr>
      </w:pPr>
      <w:r w:rsidRPr="00C655A2">
        <w:rPr>
          <w:rFonts w:cstheme="minorHAnsi"/>
          <w:sz w:val="24"/>
          <w:szCs w:val="24"/>
        </w:rPr>
        <w:t xml:space="preserve">Informed by the analysis in appendix 2 it is recommended the PSB agree </w:t>
      </w:r>
      <w:r w:rsidR="00F54A51" w:rsidRPr="00C655A2">
        <w:rPr>
          <w:rFonts w:cstheme="minorHAnsi"/>
          <w:sz w:val="24"/>
          <w:szCs w:val="24"/>
        </w:rPr>
        <w:t xml:space="preserve">the </w:t>
      </w:r>
      <w:r w:rsidRPr="00C655A2">
        <w:rPr>
          <w:rFonts w:cstheme="minorHAnsi"/>
          <w:sz w:val="24"/>
          <w:szCs w:val="24"/>
        </w:rPr>
        <w:t>outcomes</w:t>
      </w:r>
      <w:r w:rsidR="00D35C32" w:rsidRPr="00C655A2">
        <w:rPr>
          <w:rFonts w:cstheme="minorHAnsi"/>
          <w:sz w:val="24"/>
          <w:szCs w:val="24"/>
        </w:rPr>
        <w:t>,</w:t>
      </w:r>
      <w:r w:rsidR="00EA216D" w:rsidRPr="00C655A2">
        <w:rPr>
          <w:rFonts w:cstheme="minorHAnsi"/>
          <w:sz w:val="24"/>
          <w:szCs w:val="24"/>
        </w:rPr>
        <w:t xml:space="preserve"> and</w:t>
      </w:r>
      <w:r w:rsidR="00D35C32" w:rsidRPr="00C655A2">
        <w:rPr>
          <w:rFonts w:cstheme="minorHAnsi"/>
          <w:sz w:val="24"/>
          <w:szCs w:val="24"/>
        </w:rPr>
        <w:t xml:space="preserve"> </w:t>
      </w:r>
      <w:r w:rsidR="000D3359" w:rsidRPr="00C655A2">
        <w:rPr>
          <w:rFonts w:cstheme="minorHAnsi"/>
          <w:sz w:val="24"/>
          <w:szCs w:val="24"/>
        </w:rPr>
        <w:t>any</w:t>
      </w:r>
      <w:r w:rsidR="00B57D6B" w:rsidRPr="00C655A2">
        <w:rPr>
          <w:rFonts w:cstheme="minorHAnsi"/>
          <w:sz w:val="24"/>
          <w:szCs w:val="24"/>
        </w:rPr>
        <w:t xml:space="preserve"> sequencing</w:t>
      </w:r>
      <w:r w:rsidR="00D35C32" w:rsidRPr="00C655A2">
        <w:rPr>
          <w:rFonts w:cstheme="minorHAnsi"/>
          <w:sz w:val="24"/>
          <w:szCs w:val="24"/>
        </w:rPr>
        <w:t xml:space="preserve"> of </w:t>
      </w:r>
      <w:r w:rsidR="0010319E" w:rsidRPr="00C655A2">
        <w:rPr>
          <w:rFonts w:cstheme="minorHAnsi"/>
          <w:sz w:val="24"/>
          <w:szCs w:val="24"/>
        </w:rPr>
        <w:t>these</w:t>
      </w:r>
      <w:r w:rsidR="00D35C32" w:rsidRPr="00C655A2">
        <w:rPr>
          <w:rFonts w:cstheme="minorHAnsi"/>
          <w:sz w:val="24"/>
          <w:szCs w:val="24"/>
        </w:rPr>
        <w:t xml:space="preserve"> required, </w:t>
      </w:r>
      <w:r w:rsidRPr="00C655A2">
        <w:rPr>
          <w:rFonts w:cstheme="minorHAnsi"/>
          <w:sz w:val="24"/>
          <w:szCs w:val="24"/>
        </w:rPr>
        <w:t>to focus delivery at a regional scale that meets its ambitions in the areas of focus within available resources</w:t>
      </w:r>
      <w:r w:rsidR="00A47B17" w:rsidRPr="00C655A2">
        <w:rPr>
          <w:rFonts w:cstheme="minorHAnsi"/>
          <w:sz w:val="24"/>
          <w:szCs w:val="24"/>
        </w:rPr>
        <w:t>. An overview of these is provided in the table below:</w:t>
      </w:r>
    </w:p>
    <w:p w14:paraId="108E11B1" w14:textId="77777777" w:rsidR="00F4474C" w:rsidRDefault="00F4474C" w:rsidP="00B17CD1">
      <w:pPr>
        <w:pStyle w:val="ListParagraph"/>
        <w:numPr>
          <w:ilvl w:val="1"/>
          <w:numId w:val="11"/>
        </w:numPr>
        <w:rPr>
          <w:rFonts w:cstheme="minorHAnsi"/>
          <w:sz w:val="24"/>
          <w:szCs w:val="24"/>
        </w:rPr>
        <w:sectPr w:rsidR="00F4474C" w:rsidSect="00C43CD9">
          <w:headerReference w:type="default" r:id="rId12"/>
          <w:footerReference w:type="default" r:id="rId13"/>
          <w:pgSz w:w="11906" w:h="16838"/>
          <w:pgMar w:top="1021" w:right="851" w:bottom="1021" w:left="851" w:header="709" w:footer="709" w:gutter="0"/>
          <w:cols w:space="708"/>
          <w:docGrid w:linePitch="360"/>
        </w:sectPr>
      </w:pPr>
    </w:p>
    <w:p w14:paraId="7C2B07DA" w14:textId="77777777" w:rsidR="007049AA" w:rsidRDefault="007049AA" w:rsidP="00FF2D8E">
      <w:pPr>
        <w:pStyle w:val="ListParagraph"/>
        <w:ind w:left="360"/>
        <w:rPr>
          <w:rFonts w:cstheme="minorHAnsi"/>
          <w:sz w:val="24"/>
          <w:szCs w:val="24"/>
        </w:rPr>
      </w:pPr>
    </w:p>
    <w:tbl>
      <w:tblPr>
        <w:tblStyle w:val="TableGrid"/>
        <w:tblW w:w="0" w:type="auto"/>
        <w:tblInd w:w="-5" w:type="dxa"/>
        <w:tblLook w:val="04A0" w:firstRow="1" w:lastRow="0" w:firstColumn="1" w:lastColumn="0" w:noHBand="0" w:noVBand="1"/>
      </w:tblPr>
      <w:tblGrid>
        <w:gridCol w:w="2977"/>
        <w:gridCol w:w="4536"/>
        <w:gridCol w:w="7278"/>
      </w:tblGrid>
      <w:tr w:rsidR="00F4474C" w14:paraId="152B0A42" w14:textId="7EDFBF35" w:rsidTr="1841460C">
        <w:trPr>
          <w:tblHeader/>
        </w:trPr>
        <w:tc>
          <w:tcPr>
            <w:tcW w:w="2977" w:type="dxa"/>
          </w:tcPr>
          <w:p w14:paraId="7C33085C" w14:textId="5C344445" w:rsidR="00F4474C" w:rsidRPr="00687E4E" w:rsidRDefault="00F4474C" w:rsidP="00FF2D8E">
            <w:pPr>
              <w:pStyle w:val="ListParagraph"/>
              <w:ind w:left="0"/>
              <w:rPr>
                <w:rFonts w:cstheme="minorHAnsi"/>
                <w:b/>
                <w:bCs/>
                <w:sz w:val="24"/>
                <w:szCs w:val="24"/>
              </w:rPr>
            </w:pPr>
            <w:r w:rsidRPr="00687E4E">
              <w:rPr>
                <w:rFonts w:cstheme="minorHAnsi"/>
                <w:b/>
                <w:bCs/>
                <w:sz w:val="24"/>
                <w:szCs w:val="24"/>
              </w:rPr>
              <w:t>Area of Focus:</w:t>
            </w:r>
          </w:p>
        </w:tc>
        <w:tc>
          <w:tcPr>
            <w:tcW w:w="4536" w:type="dxa"/>
          </w:tcPr>
          <w:p w14:paraId="4CD4A782" w14:textId="6BAF8D7C" w:rsidR="00F4474C" w:rsidRPr="00687E4E" w:rsidRDefault="00F4474C" w:rsidP="00FF2D8E">
            <w:pPr>
              <w:pStyle w:val="ListParagraph"/>
              <w:ind w:left="0"/>
              <w:rPr>
                <w:rFonts w:cstheme="minorHAnsi"/>
                <w:b/>
                <w:bCs/>
                <w:sz w:val="24"/>
                <w:szCs w:val="24"/>
              </w:rPr>
            </w:pPr>
            <w:r w:rsidRPr="00687E4E">
              <w:rPr>
                <w:rFonts w:cstheme="minorHAnsi"/>
                <w:b/>
                <w:bCs/>
                <w:sz w:val="24"/>
                <w:szCs w:val="24"/>
              </w:rPr>
              <w:t>Outcome</w:t>
            </w:r>
          </w:p>
        </w:tc>
        <w:tc>
          <w:tcPr>
            <w:tcW w:w="7278" w:type="dxa"/>
          </w:tcPr>
          <w:p w14:paraId="68B75A26" w14:textId="444F0EB4" w:rsidR="00F4474C" w:rsidRPr="00687E4E" w:rsidRDefault="009D20A0" w:rsidP="00FF2D8E">
            <w:pPr>
              <w:pStyle w:val="ListParagraph"/>
              <w:ind w:left="0"/>
              <w:rPr>
                <w:rFonts w:cstheme="minorHAnsi"/>
                <w:b/>
                <w:bCs/>
                <w:sz w:val="24"/>
                <w:szCs w:val="24"/>
              </w:rPr>
            </w:pPr>
            <w:r>
              <w:rPr>
                <w:rFonts w:cstheme="minorHAnsi"/>
                <w:b/>
                <w:bCs/>
                <w:sz w:val="24"/>
                <w:szCs w:val="24"/>
              </w:rPr>
              <w:t>Possible regional delivery includes:</w:t>
            </w:r>
          </w:p>
        </w:tc>
      </w:tr>
      <w:tr w:rsidR="00462130" w14:paraId="729F1F81" w14:textId="1D1A8330" w:rsidTr="1841460C">
        <w:trPr>
          <w:trHeight w:val="1026"/>
        </w:trPr>
        <w:tc>
          <w:tcPr>
            <w:tcW w:w="2977" w:type="dxa"/>
            <w:vMerge w:val="restart"/>
          </w:tcPr>
          <w:p w14:paraId="2F354C43" w14:textId="0E91752E" w:rsidR="00462130" w:rsidRDefault="00462130" w:rsidP="00246F90">
            <w:pPr>
              <w:pStyle w:val="ListParagraph"/>
              <w:numPr>
                <w:ilvl w:val="0"/>
                <w:numId w:val="6"/>
              </w:numPr>
              <w:rPr>
                <w:rFonts w:cstheme="minorHAnsi"/>
                <w:sz w:val="24"/>
                <w:szCs w:val="24"/>
              </w:rPr>
            </w:pPr>
            <w:r w:rsidRPr="007C37DC">
              <w:rPr>
                <w:rFonts w:eastAsia="Times New Roman" w:cstheme="minorHAnsi"/>
                <w:bCs/>
                <w:sz w:val="24"/>
                <w:szCs w:val="24"/>
              </w:rPr>
              <w:t>That every child has the best start in life</w:t>
            </w:r>
          </w:p>
        </w:tc>
        <w:tc>
          <w:tcPr>
            <w:tcW w:w="4536" w:type="dxa"/>
          </w:tcPr>
          <w:p w14:paraId="2ABB685A" w14:textId="5EE0BD54" w:rsidR="00462130" w:rsidRDefault="00462130" w:rsidP="00687E4E">
            <w:pPr>
              <w:rPr>
                <w:rFonts w:cstheme="minorHAnsi"/>
                <w:sz w:val="24"/>
                <w:szCs w:val="24"/>
              </w:rPr>
            </w:pPr>
            <w:r>
              <w:rPr>
                <w:rFonts w:cstheme="minorHAnsi"/>
                <w:sz w:val="24"/>
                <w:szCs w:val="24"/>
              </w:rPr>
              <w:t xml:space="preserve">1.1 </w:t>
            </w:r>
            <w:r w:rsidRPr="00F609A4">
              <w:rPr>
                <w:rFonts w:cstheme="minorHAnsi"/>
                <w:sz w:val="24"/>
                <w:szCs w:val="24"/>
              </w:rPr>
              <w:t>Outcome: We are better at monitoring and measuring the needs of children, taking a continuous improvement approach.</w:t>
            </w:r>
          </w:p>
        </w:tc>
        <w:tc>
          <w:tcPr>
            <w:tcW w:w="7278" w:type="dxa"/>
            <w:vMerge w:val="restart"/>
          </w:tcPr>
          <w:p w14:paraId="4D53297D" w14:textId="77777777" w:rsidR="00462130" w:rsidRPr="00462130" w:rsidRDefault="00462130" w:rsidP="00462130">
            <w:pPr>
              <w:rPr>
                <w:rFonts w:cstheme="minorHAnsi"/>
                <w:sz w:val="24"/>
                <w:szCs w:val="24"/>
              </w:rPr>
            </w:pPr>
            <w:r w:rsidRPr="00462130">
              <w:rPr>
                <w:rFonts w:cstheme="minorHAnsi"/>
                <w:sz w:val="24"/>
                <w:szCs w:val="24"/>
              </w:rPr>
              <w:t>To undertake a piece of work to systematically assess the needs of children in Gwent</w:t>
            </w:r>
          </w:p>
          <w:p w14:paraId="0A6B6F63" w14:textId="77777777" w:rsidR="00462130" w:rsidRPr="00462130" w:rsidRDefault="00462130" w:rsidP="00462130">
            <w:pPr>
              <w:rPr>
                <w:rFonts w:cstheme="minorHAnsi"/>
                <w:sz w:val="24"/>
                <w:szCs w:val="24"/>
              </w:rPr>
            </w:pPr>
          </w:p>
          <w:p w14:paraId="569CEDAC" w14:textId="77777777" w:rsidR="00462130" w:rsidRPr="00462130" w:rsidRDefault="00462130" w:rsidP="00462130">
            <w:pPr>
              <w:rPr>
                <w:rFonts w:cstheme="minorHAnsi"/>
                <w:sz w:val="24"/>
                <w:szCs w:val="24"/>
              </w:rPr>
            </w:pPr>
            <w:r w:rsidRPr="00462130">
              <w:rPr>
                <w:rFonts w:cstheme="minorHAnsi"/>
                <w:sz w:val="24"/>
                <w:szCs w:val="24"/>
              </w:rPr>
              <w:t>To continue to support and take forward work that started as part of the Early Years Integration Transformation Partnership</w:t>
            </w:r>
          </w:p>
          <w:p w14:paraId="5D56CEFA" w14:textId="77777777" w:rsidR="00462130" w:rsidRPr="00462130" w:rsidRDefault="00462130" w:rsidP="00462130">
            <w:pPr>
              <w:rPr>
                <w:rFonts w:cstheme="minorHAnsi"/>
                <w:sz w:val="24"/>
                <w:szCs w:val="24"/>
              </w:rPr>
            </w:pPr>
          </w:p>
          <w:p w14:paraId="1D27958B" w14:textId="664F3172" w:rsidR="00462130" w:rsidRDefault="00462130" w:rsidP="00462130">
            <w:pPr>
              <w:rPr>
                <w:rFonts w:cstheme="minorHAnsi"/>
                <w:sz w:val="24"/>
                <w:szCs w:val="24"/>
              </w:rPr>
            </w:pPr>
            <w:r w:rsidRPr="00462130">
              <w:rPr>
                <w:rFonts w:cstheme="minorHAnsi"/>
                <w:sz w:val="24"/>
                <w:szCs w:val="24"/>
              </w:rPr>
              <w:t>To provide a regional focus on child poverty, and to support delivery of the areas in the national Child Poverty Strategy that come under local delivery</w:t>
            </w:r>
          </w:p>
        </w:tc>
      </w:tr>
      <w:tr w:rsidR="00462130" w14:paraId="5BC6F57F" w14:textId="42929C84" w:rsidTr="1841460C">
        <w:trPr>
          <w:trHeight w:val="1026"/>
        </w:trPr>
        <w:tc>
          <w:tcPr>
            <w:tcW w:w="2977" w:type="dxa"/>
            <w:vMerge/>
          </w:tcPr>
          <w:p w14:paraId="119C36B6" w14:textId="77777777" w:rsidR="00462130" w:rsidRPr="007C37DC" w:rsidRDefault="00462130" w:rsidP="00246F90">
            <w:pPr>
              <w:pStyle w:val="ListParagraph"/>
              <w:numPr>
                <w:ilvl w:val="0"/>
                <w:numId w:val="6"/>
              </w:numPr>
              <w:rPr>
                <w:rFonts w:eastAsia="Times New Roman" w:cstheme="minorHAnsi"/>
                <w:bCs/>
                <w:sz w:val="24"/>
                <w:szCs w:val="24"/>
              </w:rPr>
            </w:pPr>
          </w:p>
        </w:tc>
        <w:tc>
          <w:tcPr>
            <w:tcW w:w="4536" w:type="dxa"/>
          </w:tcPr>
          <w:p w14:paraId="30EBA934" w14:textId="3334A71D" w:rsidR="00462130" w:rsidRDefault="00462130" w:rsidP="00F609A4">
            <w:pPr>
              <w:rPr>
                <w:rFonts w:cstheme="minorHAnsi"/>
                <w:sz w:val="24"/>
                <w:szCs w:val="24"/>
              </w:rPr>
            </w:pPr>
            <w:r w:rsidRPr="00687E4E">
              <w:rPr>
                <w:rFonts w:cstheme="minorHAnsi"/>
                <w:sz w:val="24"/>
                <w:szCs w:val="24"/>
              </w:rPr>
              <w:t xml:space="preserve">1.2 Outcome: All children and families are supported by all services that impact on 0-7 </w:t>
            </w:r>
            <w:proofErr w:type="spellStart"/>
            <w:r w:rsidRPr="00687E4E">
              <w:rPr>
                <w:rFonts w:cstheme="minorHAnsi"/>
                <w:sz w:val="24"/>
                <w:szCs w:val="24"/>
              </w:rPr>
              <w:t>yrs</w:t>
            </w:r>
            <w:proofErr w:type="spellEnd"/>
            <w:r w:rsidRPr="00687E4E">
              <w:rPr>
                <w:rFonts w:cstheme="minorHAnsi"/>
                <w:sz w:val="24"/>
                <w:szCs w:val="24"/>
              </w:rPr>
              <w:t>, with a focus on prevention and early intervention.</w:t>
            </w:r>
          </w:p>
        </w:tc>
        <w:tc>
          <w:tcPr>
            <w:tcW w:w="7278" w:type="dxa"/>
            <w:vMerge/>
          </w:tcPr>
          <w:p w14:paraId="0D8B56F0" w14:textId="77777777" w:rsidR="00462130" w:rsidRPr="00687E4E" w:rsidRDefault="00462130" w:rsidP="00F609A4">
            <w:pPr>
              <w:rPr>
                <w:rFonts w:cstheme="minorHAnsi"/>
                <w:sz w:val="24"/>
                <w:szCs w:val="24"/>
              </w:rPr>
            </w:pPr>
          </w:p>
        </w:tc>
      </w:tr>
      <w:tr w:rsidR="00F4474C" w14:paraId="24F1CEC9" w14:textId="235B914E" w:rsidTr="1841460C">
        <w:trPr>
          <w:trHeight w:val="219"/>
        </w:trPr>
        <w:tc>
          <w:tcPr>
            <w:tcW w:w="2977" w:type="dxa"/>
            <w:vMerge w:val="restart"/>
          </w:tcPr>
          <w:p w14:paraId="5D889DC2" w14:textId="6834B42C" w:rsidR="00F4474C" w:rsidRDefault="00F4474C" w:rsidP="00246F90">
            <w:pPr>
              <w:pStyle w:val="ListParagraph"/>
              <w:numPr>
                <w:ilvl w:val="0"/>
                <w:numId w:val="6"/>
              </w:numPr>
              <w:rPr>
                <w:rFonts w:cstheme="minorHAnsi"/>
                <w:sz w:val="24"/>
                <w:szCs w:val="24"/>
              </w:rPr>
            </w:pPr>
            <w:r w:rsidRPr="007C37DC">
              <w:rPr>
                <w:rFonts w:eastAsia="Times New Roman" w:cstheme="minorHAnsi"/>
                <w:bCs/>
                <w:sz w:val="24"/>
                <w:szCs w:val="24"/>
              </w:rPr>
              <w:t>That everyone lives in a place they feel safe</w:t>
            </w:r>
          </w:p>
        </w:tc>
        <w:tc>
          <w:tcPr>
            <w:tcW w:w="4536" w:type="dxa"/>
          </w:tcPr>
          <w:p w14:paraId="6B7A0009" w14:textId="0EC34A1C" w:rsidR="00F4474C" w:rsidRPr="003C2A68" w:rsidRDefault="64ED661A" w:rsidP="243AECE7">
            <w:pPr>
              <w:spacing w:line="257" w:lineRule="auto"/>
              <w:rPr>
                <w:rFonts w:eastAsia="Calibri" w:cstheme="minorHAnsi"/>
                <w:sz w:val="24"/>
                <w:szCs w:val="24"/>
              </w:rPr>
            </w:pPr>
            <w:r w:rsidRPr="003C2A68">
              <w:rPr>
                <w:rFonts w:eastAsia="Calibri" w:cstheme="minorHAnsi"/>
                <w:sz w:val="24"/>
                <w:szCs w:val="24"/>
              </w:rPr>
              <w:t xml:space="preserve">2.1 Outcome: Trauma-informed practice and ACE-awareness is embedded across all Gwent PSB organisations, to protect children &amp; young people from harm, and support healthy development.  </w:t>
            </w:r>
          </w:p>
          <w:p w14:paraId="5D190C18" w14:textId="7E61F7D4" w:rsidR="00F4474C" w:rsidRPr="003C2A68" w:rsidRDefault="00F4474C" w:rsidP="243AECE7">
            <w:pPr>
              <w:spacing w:line="257" w:lineRule="auto"/>
              <w:rPr>
                <w:rFonts w:eastAsia="Calibri" w:cstheme="minorHAnsi"/>
                <w:sz w:val="24"/>
                <w:szCs w:val="24"/>
              </w:rPr>
            </w:pPr>
          </w:p>
        </w:tc>
        <w:tc>
          <w:tcPr>
            <w:tcW w:w="7278" w:type="dxa"/>
          </w:tcPr>
          <w:p w14:paraId="2AAE5F8A" w14:textId="73C45418" w:rsidR="00F4474C" w:rsidRPr="003C2A68" w:rsidRDefault="08B359D0" w:rsidP="1841460C">
            <w:pPr>
              <w:pStyle w:val="ListParagraph"/>
              <w:ind w:left="0"/>
              <w:rPr>
                <w:rFonts w:eastAsia="Calibri"/>
                <w:sz w:val="24"/>
                <w:szCs w:val="24"/>
              </w:rPr>
            </w:pPr>
            <w:r w:rsidRPr="1841460C">
              <w:rPr>
                <w:rFonts w:eastAsia="Calibri"/>
                <w:sz w:val="24"/>
                <w:szCs w:val="24"/>
              </w:rPr>
              <w:t>For e</w:t>
            </w:r>
            <w:r w:rsidR="1144EAF3" w:rsidRPr="1841460C">
              <w:rPr>
                <w:rFonts w:eastAsia="Calibri"/>
                <w:sz w:val="24"/>
                <w:szCs w:val="24"/>
              </w:rPr>
              <w:t xml:space="preserve">ach </w:t>
            </w:r>
            <w:r w:rsidR="4221915C" w:rsidRPr="1841460C">
              <w:rPr>
                <w:rFonts w:eastAsia="Calibri"/>
                <w:sz w:val="24"/>
                <w:szCs w:val="24"/>
              </w:rPr>
              <w:t xml:space="preserve">Gwent </w:t>
            </w:r>
            <w:r w:rsidR="1144EAF3" w:rsidRPr="1841460C">
              <w:rPr>
                <w:rFonts w:eastAsia="Calibri"/>
                <w:sz w:val="24"/>
                <w:szCs w:val="24"/>
              </w:rPr>
              <w:t xml:space="preserve">PSB organisation </w:t>
            </w:r>
            <w:r w:rsidR="4BCA192A" w:rsidRPr="1841460C">
              <w:rPr>
                <w:rFonts w:eastAsia="Calibri"/>
                <w:sz w:val="24"/>
                <w:szCs w:val="24"/>
              </w:rPr>
              <w:t xml:space="preserve">to </w:t>
            </w:r>
            <w:r w:rsidR="1144EAF3" w:rsidRPr="1841460C">
              <w:rPr>
                <w:rFonts w:eastAsia="Calibri"/>
                <w:sz w:val="24"/>
                <w:szCs w:val="24"/>
              </w:rPr>
              <w:t>commit</w:t>
            </w:r>
            <w:r w:rsidR="1A61B6F4" w:rsidRPr="1841460C">
              <w:rPr>
                <w:rFonts w:eastAsia="Calibri"/>
                <w:sz w:val="24"/>
                <w:szCs w:val="24"/>
              </w:rPr>
              <w:t xml:space="preserve"> </w:t>
            </w:r>
            <w:r w:rsidR="1144EAF3" w:rsidRPr="1841460C">
              <w:rPr>
                <w:rFonts w:eastAsia="Calibri"/>
                <w:sz w:val="24"/>
                <w:szCs w:val="24"/>
              </w:rPr>
              <w:t xml:space="preserve">to undertake, and resource an ACE </w:t>
            </w:r>
            <w:r w:rsidR="2960E737" w:rsidRPr="1841460C">
              <w:rPr>
                <w:rFonts w:eastAsia="Calibri"/>
                <w:sz w:val="24"/>
                <w:szCs w:val="24"/>
              </w:rPr>
              <w:t>a</w:t>
            </w:r>
            <w:r w:rsidR="1144EAF3" w:rsidRPr="1841460C">
              <w:rPr>
                <w:rFonts w:eastAsia="Calibri"/>
                <w:sz w:val="24"/>
                <w:szCs w:val="24"/>
              </w:rPr>
              <w:t xml:space="preserve">wareness self-assessment, to inform actions needed to embed </w:t>
            </w:r>
            <w:proofErr w:type="spellStart"/>
            <w:r w:rsidR="1144EAF3" w:rsidRPr="1841460C">
              <w:rPr>
                <w:rFonts w:eastAsia="Calibri"/>
                <w:sz w:val="24"/>
                <w:szCs w:val="24"/>
              </w:rPr>
              <w:t>TrACE</w:t>
            </w:r>
            <w:proofErr w:type="spellEnd"/>
            <w:r w:rsidR="1144EAF3" w:rsidRPr="1841460C">
              <w:rPr>
                <w:rFonts w:eastAsia="Calibri"/>
                <w:sz w:val="24"/>
                <w:szCs w:val="24"/>
              </w:rPr>
              <w:t xml:space="preserve"> into practice</w:t>
            </w:r>
            <w:r w:rsidR="0E1FC50A" w:rsidRPr="1841460C">
              <w:rPr>
                <w:rFonts w:eastAsia="Calibri"/>
                <w:sz w:val="24"/>
                <w:szCs w:val="24"/>
              </w:rPr>
              <w:t xml:space="preserve">, and </w:t>
            </w:r>
            <w:r w:rsidR="4F62E67C" w:rsidRPr="1841460C">
              <w:rPr>
                <w:rFonts w:eastAsia="Calibri"/>
                <w:sz w:val="24"/>
                <w:szCs w:val="24"/>
              </w:rPr>
              <w:t xml:space="preserve">for Gwent to </w:t>
            </w:r>
            <w:r w:rsidR="0E1FC50A" w:rsidRPr="1841460C">
              <w:rPr>
                <w:rFonts w:eastAsia="Calibri"/>
                <w:sz w:val="24"/>
                <w:szCs w:val="24"/>
              </w:rPr>
              <w:t xml:space="preserve">become an ACE aware region in Wales. </w:t>
            </w:r>
          </w:p>
          <w:p w14:paraId="0AE22173" w14:textId="23173F4C" w:rsidR="00F4474C" w:rsidRPr="003C2A68" w:rsidRDefault="00F4474C" w:rsidP="243AECE7">
            <w:pPr>
              <w:pStyle w:val="ListParagraph"/>
              <w:ind w:left="0"/>
              <w:rPr>
                <w:rFonts w:eastAsia="Calibri" w:cstheme="minorHAnsi"/>
                <w:sz w:val="24"/>
                <w:szCs w:val="24"/>
              </w:rPr>
            </w:pPr>
          </w:p>
        </w:tc>
      </w:tr>
      <w:tr w:rsidR="00F4474C" w14:paraId="3E109F31" w14:textId="21579CAE" w:rsidTr="1841460C">
        <w:trPr>
          <w:trHeight w:val="217"/>
        </w:trPr>
        <w:tc>
          <w:tcPr>
            <w:tcW w:w="2977" w:type="dxa"/>
            <w:vMerge/>
          </w:tcPr>
          <w:p w14:paraId="42013211" w14:textId="77777777" w:rsidR="00F4474C" w:rsidRPr="007C37DC" w:rsidRDefault="00F4474C" w:rsidP="00246F90">
            <w:pPr>
              <w:pStyle w:val="ListParagraph"/>
              <w:numPr>
                <w:ilvl w:val="0"/>
                <w:numId w:val="6"/>
              </w:numPr>
              <w:rPr>
                <w:rFonts w:eastAsia="Times New Roman" w:cstheme="minorHAnsi"/>
                <w:bCs/>
                <w:sz w:val="24"/>
                <w:szCs w:val="24"/>
              </w:rPr>
            </w:pPr>
          </w:p>
        </w:tc>
        <w:tc>
          <w:tcPr>
            <w:tcW w:w="4536" w:type="dxa"/>
          </w:tcPr>
          <w:p w14:paraId="4CBCB74B" w14:textId="2B36CC92" w:rsidR="00F4474C" w:rsidRPr="003C2A68" w:rsidRDefault="64ED661A" w:rsidP="243AECE7">
            <w:pPr>
              <w:spacing w:line="257" w:lineRule="auto"/>
              <w:rPr>
                <w:rFonts w:eastAsia="Calibri" w:cstheme="minorHAnsi"/>
                <w:sz w:val="24"/>
                <w:szCs w:val="24"/>
              </w:rPr>
            </w:pPr>
            <w:r w:rsidRPr="003C2A68">
              <w:rPr>
                <w:rFonts w:eastAsia="Calibri" w:cstheme="minorHAnsi"/>
                <w:sz w:val="24"/>
                <w:szCs w:val="24"/>
              </w:rPr>
              <w:t>2.2 Outcome:  Place-based models of working are developed at scale to address community tensions, cohesion and provide early help &amp; support for communities across Gwent.</w:t>
            </w:r>
          </w:p>
          <w:p w14:paraId="42EAA033" w14:textId="516C0819" w:rsidR="00F4474C" w:rsidRPr="003C2A68" w:rsidRDefault="00F4474C" w:rsidP="243AECE7">
            <w:pPr>
              <w:pStyle w:val="ListParagraph"/>
              <w:ind w:left="0"/>
              <w:rPr>
                <w:rFonts w:cstheme="minorHAnsi"/>
                <w:sz w:val="24"/>
                <w:szCs w:val="24"/>
              </w:rPr>
            </w:pPr>
          </w:p>
        </w:tc>
        <w:tc>
          <w:tcPr>
            <w:tcW w:w="7278" w:type="dxa"/>
          </w:tcPr>
          <w:p w14:paraId="594E5906" w14:textId="68B708FD" w:rsidR="5D78DC35" w:rsidRPr="003C2A68" w:rsidRDefault="5D78DC35" w:rsidP="1841460C">
            <w:pPr>
              <w:pStyle w:val="ListParagraph"/>
              <w:ind w:left="0"/>
              <w:rPr>
                <w:rFonts w:eastAsia="Calibri"/>
                <w:sz w:val="24"/>
                <w:szCs w:val="24"/>
              </w:rPr>
            </w:pPr>
            <w:r w:rsidRPr="1841460C">
              <w:rPr>
                <w:rFonts w:eastAsia="Calibri"/>
                <w:sz w:val="24"/>
                <w:szCs w:val="24"/>
              </w:rPr>
              <w:t xml:space="preserve">To widen the remit of existing place-based/neighbourhood models of community support, wellbeing, and early help to include </w:t>
            </w:r>
            <w:proofErr w:type="spellStart"/>
            <w:r w:rsidRPr="1841460C">
              <w:rPr>
                <w:rFonts w:eastAsia="Calibri"/>
                <w:sz w:val="24"/>
                <w:szCs w:val="24"/>
              </w:rPr>
              <w:t>TrACE</w:t>
            </w:r>
            <w:proofErr w:type="spellEnd"/>
            <w:r w:rsidR="1ED3F704" w:rsidRPr="1841460C">
              <w:rPr>
                <w:rFonts w:eastAsia="Calibri"/>
                <w:sz w:val="24"/>
                <w:szCs w:val="24"/>
              </w:rPr>
              <w:t xml:space="preserve">, </w:t>
            </w:r>
            <w:r w:rsidRPr="1841460C">
              <w:rPr>
                <w:rFonts w:eastAsia="Calibri"/>
                <w:sz w:val="24"/>
                <w:szCs w:val="24"/>
              </w:rPr>
              <w:t>max</w:t>
            </w:r>
            <w:r w:rsidR="18F192C2" w:rsidRPr="1841460C">
              <w:rPr>
                <w:rFonts w:eastAsia="Calibri"/>
                <w:sz w:val="24"/>
                <w:szCs w:val="24"/>
              </w:rPr>
              <w:t>imisin</w:t>
            </w:r>
            <w:r w:rsidR="60EAB017" w:rsidRPr="1841460C">
              <w:rPr>
                <w:rFonts w:eastAsia="Calibri"/>
                <w:sz w:val="24"/>
                <w:szCs w:val="24"/>
              </w:rPr>
              <w:t>g</w:t>
            </w:r>
            <w:r w:rsidR="18F192C2" w:rsidRPr="1841460C">
              <w:rPr>
                <w:rFonts w:eastAsia="Calibri"/>
                <w:sz w:val="24"/>
                <w:szCs w:val="24"/>
              </w:rPr>
              <w:t xml:space="preserve"> the </w:t>
            </w:r>
            <w:r w:rsidR="2CB6F3A2" w:rsidRPr="1841460C">
              <w:rPr>
                <w:rFonts w:eastAsia="Calibri"/>
                <w:sz w:val="24"/>
                <w:szCs w:val="24"/>
              </w:rPr>
              <w:t>scope</w:t>
            </w:r>
            <w:r w:rsidR="218A2CA1" w:rsidRPr="1841460C">
              <w:rPr>
                <w:rFonts w:eastAsia="Calibri"/>
                <w:sz w:val="24"/>
                <w:szCs w:val="24"/>
              </w:rPr>
              <w:t xml:space="preserve"> and role </w:t>
            </w:r>
            <w:r w:rsidR="2CB6F3A2" w:rsidRPr="1841460C">
              <w:rPr>
                <w:rFonts w:eastAsia="Calibri"/>
                <w:sz w:val="24"/>
                <w:szCs w:val="24"/>
              </w:rPr>
              <w:t xml:space="preserve">of </w:t>
            </w:r>
            <w:r w:rsidR="7493A493" w:rsidRPr="1841460C">
              <w:rPr>
                <w:rFonts w:eastAsia="Calibri"/>
                <w:sz w:val="24"/>
                <w:szCs w:val="24"/>
              </w:rPr>
              <w:t xml:space="preserve">the </w:t>
            </w:r>
            <w:r w:rsidR="602F11D2" w:rsidRPr="1841460C">
              <w:rPr>
                <w:rFonts w:eastAsia="Calibri"/>
                <w:sz w:val="24"/>
                <w:szCs w:val="24"/>
              </w:rPr>
              <w:t>existing</w:t>
            </w:r>
            <w:r w:rsidR="2CB6F3A2" w:rsidRPr="1841460C">
              <w:rPr>
                <w:rFonts w:eastAsia="Calibri"/>
                <w:sz w:val="24"/>
                <w:szCs w:val="24"/>
              </w:rPr>
              <w:t xml:space="preserve"> workforce</w:t>
            </w:r>
            <w:r w:rsidR="56DF2C39" w:rsidRPr="1841460C">
              <w:rPr>
                <w:rFonts w:eastAsia="Calibri"/>
                <w:sz w:val="24"/>
                <w:szCs w:val="24"/>
              </w:rPr>
              <w:t xml:space="preserve"> and resources available</w:t>
            </w:r>
            <w:r w:rsidR="66698418" w:rsidRPr="1841460C">
              <w:rPr>
                <w:rFonts w:eastAsia="Calibri"/>
                <w:sz w:val="24"/>
                <w:szCs w:val="24"/>
              </w:rPr>
              <w:t xml:space="preserve"> to </w:t>
            </w:r>
            <w:r w:rsidR="7E7B91B4" w:rsidRPr="1841460C">
              <w:rPr>
                <w:rFonts w:eastAsia="Calibri"/>
                <w:sz w:val="24"/>
                <w:szCs w:val="24"/>
              </w:rPr>
              <w:t xml:space="preserve">mitigate </w:t>
            </w:r>
            <w:r w:rsidR="66698418" w:rsidRPr="1841460C">
              <w:rPr>
                <w:rFonts w:eastAsia="Calibri"/>
                <w:sz w:val="24"/>
                <w:szCs w:val="24"/>
              </w:rPr>
              <w:t xml:space="preserve">vulnerability and build community resilience.  </w:t>
            </w:r>
          </w:p>
          <w:p w14:paraId="2AD69714" w14:textId="6CEA632C" w:rsidR="243AECE7" w:rsidRPr="003C2A68" w:rsidRDefault="243AECE7" w:rsidP="243AECE7">
            <w:pPr>
              <w:pStyle w:val="ListParagraph"/>
              <w:rPr>
                <w:rFonts w:eastAsia="Calibri" w:cstheme="minorHAnsi"/>
                <w:sz w:val="24"/>
                <w:szCs w:val="24"/>
              </w:rPr>
            </w:pPr>
          </w:p>
        </w:tc>
      </w:tr>
      <w:tr w:rsidR="00F4474C" w14:paraId="7607ED00" w14:textId="57BE8D37" w:rsidTr="1841460C">
        <w:tc>
          <w:tcPr>
            <w:tcW w:w="2977" w:type="dxa"/>
          </w:tcPr>
          <w:p w14:paraId="6B96B53B" w14:textId="09405F95" w:rsidR="00F4474C" w:rsidRDefault="00F4474C" w:rsidP="00246F90">
            <w:pPr>
              <w:pStyle w:val="ListParagraph"/>
              <w:numPr>
                <w:ilvl w:val="0"/>
                <w:numId w:val="6"/>
              </w:numPr>
              <w:rPr>
                <w:rFonts w:cstheme="minorHAnsi"/>
                <w:sz w:val="24"/>
                <w:szCs w:val="24"/>
              </w:rPr>
            </w:pPr>
            <w:r w:rsidRPr="007C37DC">
              <w:rPr>
                <w:rFonts w:eastAsia="Times New Roman" w:cstheme="minorHAnsi"/>
                <w:bCs/>
                <w:sz w:val="24"/>
                <w:szCs w:val="24"/>
              </w:rPr>
              <w:t>That everyone has the same Economic chances</w:t>
            </w:r>
          </w:p>
        </w:tc>
        <w:tc>
          <w:tcPr>
            <w:tcW w:w="4536" w:type="dxa"/>
          </w:tcPr>
          <w:p w14:paraId="0FB38BD4" w14:textId="7CF930F2" w:rsidR="00F4474C" w:rsidRDefault="00F4474C" w:rsidP="007049AA">
            <w:pPr>
              <w:pStyle w:val="ListParagraph"/>
              <w:ind w:left="0"/>
              <w:rPr>
                <w:rFonts w:cstheme="minorHAnsi"/>
                <w:sz w:val="24"/>
                <w:szCs w:val="24"/>
              </w:rPr>
            </w:pPr>
            <w:r>
              <w:rPr>
                <w:rFonts w:cstheme="minorHAnsi"/>
                <w:sz w:val="24"/>
                <w:szCs w:val="24"/>
              </w:rPr>
              <w:t xml:space="preserve">3.1 Outcome: </w:t>
            </w:r>
            <w:r w:rsidRPr="007370F7">
              <w:rPr>
                <w:rFonts w:cstheme="minorHAnsi"/>
                <w:sz w:val="24"/>
                <w:szCs w:val="24"/>
              </w:rPr>
              <w:t xml:space="preserve">Enhance pathways to decent, fair &amp; sustainable employment across Gwent through a coordinated partnership approach to education, skills, training, </w:t>
            </w:r>
            <w:proofErr w:type="gramStart"/>
            <w:r w:rsidRPr="007370F7">
              <w:rPr>
                <w:rFonts w:cstheme="minorHAnsi"/>
                <w:sz w:val="24"/>
                <w:szCs w:val="24"/>
              </w:rPr>
              <w:t>apprenticeships</w:t>
            </w:r>
            <w:proofErr w:type="gramEnd"/>
            <w:r w:rsidRPr="007370F7">
              <w:rPr>
                <w:rFonts w:cstheme="minorHAnsi"/>
                <w:sz w:val="24"/>
                <w:szCs w:val="24"/>
              </w:rPr>
              <w:t xml:space="preserve"> and volunteering opportunities</w:t>
            </w:r>
            <w:r>
              <w:rPr>
                <w:rFonts w:cstheme="minorHAnsi"/>
                <w:sz w:val="24"/>
                <w:szCs w:val="24"/>
              </w:rPr>
              <w:t>.</w:t>
            </w:r>
          </w:p>
        </w:tc>
        <w:tc>
          <w:tcPr>
            <w:tcW w:w="7278" w:type="dxa"/>
          </w:tcPr>
          <w:p w14:paraId="51FA0602" w14:textId="77777777" w:rsidR="00062419" w:rsidRPr="00062419" w:rsidRDefault="00062419" w:rsidP="00062419">
            <w:pPr>
              <w:rPr>
                <w:rFonts w:cstheme="minorHAnsi"/>
                <w:sz w:val="24"/>
                <w:szCs w:val="24"/>
              </w:rPr>
            </w:pPr>
            <w:r w:rsidRPr="00062419">
              <w:rPr>
                <w:rFonts w:cstheme="minorHAnsi"/>
                <w:sz w:val="24"/>
                <w:szCs w:val="24"/>
              </w:rPr>
              <w:t xml:space="preserve">Regional Strategic Leadership – PSB to agree to provide leadership working towards this outcome and identify relevant organisations to meet the Building a Fairer Gwent recommendations. </w:t>
            </w:r>
          </w:p>
          <w:p w14:paraId="03EE33EA" w14:textId="77777777" w:rsidR="00062419" w:rsidRDefault="00062419" w:rsidP="00062419">
            <w:pPr>
              <w:rPr>
                <w:rFonts w:cstheme="minorHAnsi"/>
                <w:sz w:val="24"/>
                <w:szCs w:val="24"/>
              </w:rPr>
            </w:pPr>
          </w:p>
          <w:p w14:paraId="7FC569B1" w14:textId="0A5542BE" w:rsidR="00062419" w:rsidRDefault="00062419" w:rsidP="00062419">
            <w:pPr>
              <w:rPr>
                <w:rFonts w:cstheme="minorHAnsi"/>
                <w:sz w:val="24"/>
                <w:szCs w:val="24"/>
              </w:rPr>
            </w:pPr>
            <w:r w:rsidRPr="00062419">
              <w:rPr>
                <w:rFonts w:cstheme="minorHAnsi"/>
                <w:sz w:val="24"/>
                <w:szCs w:val="24"/>
              </w:rPr>
              <w:t xml:space="preserve">Co-ordinate regional groups/partnerships/networks – Identify key contributors to employment &amp; skills provision across Gwent (e.g. CCR, DWP, Coleg Gwent, LA employment and skills leads etc), strengthen mapping of relevant activities for associated project and initiatives (e.g. </w:t>
            </w:r>
            <w:r w:rsidRPr="00062419">
              <w:rPr>
                <w:rFonts w:cstheme="minorHAnsi"/>
                <w:sz w:val="24"/>
                <w:szCs w:val="24"/>
              </w:rPr>
              <w:lastRenderedPageBreak/>
              <w:t>UK SPF programmes etc), and consider PSB partner organisations commitments as employers.</w:t>
            </w:r>
          </w:p>
          <w:p w14:paraId="12F951CE" w14:textId="77777777" w:rsidR="00062419" w:rsidRPr="00062419" w:rsidRDefault="00062419" w:rsidP="00062419">
            <w:pPr>
              <w:rPr>
                <w:rFonts w:cstheme="minorHAnsi"/>
                <w:sz w:val="24"/>
                <w:szCs w:val="24"/>
              </w:rPr>
            </w:pPr>
          </w:p>
          <w:p w14:paraId="443C59BC" w14:textId="5374ABE0" w:rsidR="00F4474C" w:rsidRDefault="00062419" w:rsidP="00062419">
            <w:pPr>
              <w:pStyle w:val="ListParagraph"/>
              <w:ind w:left="0"/>
              <w:rPr>
                <w:rFonts w:cstheme="minorHAnsi"/>
                <w:sz w:val="24"/>
                <w:szCs w:val="24"/>
              </w:rPr>
            </w:pPr>
            <w:r w:rsidRPr="00062419">
              <w:rPr>
                <w:rFonts w:cstheme="minorHAnsi"/>
                <w:sz w:val="24"/>
                <w:szCs w:val="24"/>
              </w:rPr>
              <w:t>Delivery of regional programmes and initiatives – Explore options for regional scale opportunities e.g. Sustainable Steps Wales - Green Careers (2024/25), future delivery of available funding streams and regional collaboration on delivery (CCR).</w:t>
            </w:r>
          </w:p>
        </w:tc>
      </w:tr>
      <w:tr w:rsidR="00F4474C" w14:paraId="74D3646A" w14:textId="480E27D5" w:rsidTr="1841460C">
        <w:trPr>
          <w:trHeight w:val="588"/>
        </w:trPr>
        <w:tc>
          <w:tcPr>
            <w:tcW w:w="2977" w:type="dxa"/>
            <w:vMerge w:val="restart"/>
          </w:tcPr>
          <w:p w14:paraId="291C008D" w14:textId="41293AE0" w:rsidR="00F4474C" w:rsidRDefault="00F4474C" w:rsidP="00246F90">
            <w:pPr>
              <w:pStyle w:val="ListParagraph"/>
              <w:numPr>
                <w:ilvl w:val="0"/>
                <w:numId w:val="6"/>
              </w:numPr>
              <w:rPr>
                <w:rFonts w:cstheme="minorHAnsi"/>
                <w:sz w:val="24"/>
                <w:szCs w:val="24"/>
              </w:rPr>
            </w:pPr>
            <w:r w:rsidRPr="007C37DC">
              <w:rPr>
                <w:rFonts w:eastAsia="Times New Roman" w:cstheme="minorHAnsi"/>
                <w:bCs/>
                <w:sz w:val="24"/>
                <w:szCs w:val="24"/>
              </w:rPr>
              <w:lastRenderedPageBreak/>
              <w:t>That everyone lives in a climate-ready community where their environment is valued and protected</w:t>
            </w:r>
          </w:p>
        </w:tc>
        <w:tc>
          <w:tcPr>
            <w:tcW w:w="4536" w:type="dxa"/>
          </w:tcPr>
          <w:p w14:paraId="324DFC43" w14:textId="4AA2884E" w:rsidR="00F4474C" w:rsidRDefault="00F4474C" w:rsidP="007049AA">
            <w:pPr>
              <w:pStyle w:val="ListParagraph"/>
              <w:ind w:left="0"/>
              <w:rPr>
                <w:rFonts w:cstheme="minorHAnsi"/>
                <w:sz w:val="24"/>
                <w:szCs w:val="24"/>
              </w:rPr>
            </w:pPr>
            <w:r>
              <w:rPr>
                <w:rFonts w:cstheme="minorHAnsi"/>
                <w:sz w:val="24"/>
                <w:szCs w:val="24"/>
              </w:rPr>
              <w:t xml:space="preserve">4.1 Outcome: </w:t>
            </w:r>
            <w:r w:rsidRPr="00407B59">
              <w:rPr>
                <w:rFonts w:cstheme="minorHAnsi"/>
                <w:sz w:val="24"/>
                <w:szCs w:val="24"/>
              </w:rPr>
              <w:t>Gwent is more prepared for the future effects of climate change in an equitable way through better understanding of the regional risks</w:t>
            </w:r>
          </w:p>
        </w:tc>
        <w:tc>
          <w:tcPr>
            <w:tcW w:w="7278" w:type="dxa"/>
          </w:tcPr>
          <w:p w14:paraId="1B54E82B" w14:textId="07557CD1" w:rsidR="00561B50" w:rsidRDefault="00561B50" w:rsidP="00561B50">
            <w:pPr>
              <w:rPr>
                <w:rFonts w:cstheme="minorHAnsi"/>
                <w:sz w:val="24"/>
                <w:szCs w:val="24"/>
              </w:rPr>
            </w:pPr>
            <w:r w:rsidRPr="00561B50">
              <w:rPr>
                <w:rFonts w:cstheme="minorHAnsi"/>
                <w:sz w:val="24"/>
                <w:szCs w:val="24"/>
              </w:rPr>
              <w:t>Engagement and communication</w:t>
            </w:r>
            <w:r w:rsidR="00375B0B">
              <w:rPr>
                <w:rFonts w:cstheme="minorHAnsi"/>
                <w:sz w:val="24"/>
                <w:szCs w:val="24"/>
              </w:rPr>
              <w:t xml:space="preserve"> -</w:t>
            </w:r>
            <w:r w:rsidRPr="00561B50">
              <w:rPr>
                <w:rFonts w:cstheme="minorHAnsi"/>
                <w:sz w:val="24"/>
                <w:szCs w:val="24"/>
              </w:rPr>
              <w:t>To inform, involve and learn from key stakeholders, through collaborative and cross-sector activity, supported by regional, Gwent-focussed, engagement and communications resources.</w:t>
            </w:r>
          </w:p>
          <w:p w14:paraId="520A8AC4" w14:textId="77777777" w:rsidR="00561B50" w:rsidRPr="00561B50" w:rsidRDefault="00561B50" w:rsidP="00561B50">
            <w:pPr>
              <w:rPr>
                <w:rFonts w:cstheme="minorHAnsi"/>
                <w:sz w:val="24"/>
                <w:szCs w:val="24"/>
              </w:rPr>
            </w:pPr>
          </w:p>
          <w:p w14:paraId="235B7A83" w14:textId="62D64CDE" w:rsidR="00561B50" w:rsidRDefault="00561B50" w:rsidP="00561B50">
            <w:pPr>
              <w:rPr>
                <w:rFonts w:cstheme="minorHAnsi"/>
                <w:sz w:val="24"/>
                <w:szCs w:val="24"/>
              </w:rPr>
            </w:pPr>
            <w:r w:rsidRPr="00561B50">
              <w:rPr>
                <w:rFonts w:cstheme="minorHAnsi"/>
                <w:sz w:val="24"/>
                <w:szCs w:val="24"/>
              </w:rPr>
              <w:t xml:space="preserve">Gwent Climate Change Risk Assessment </w:t>
            </w:r>
            <w:r w:rsidR="00375B0B">
              <w:rPr>
                <w:rFonts w:cstheme="minorHAnsi"/>
                <w:sz w:val="24"/>
                <w:szCs w:val="24"/>
              </w:rPr>
              <w:t xml:space="preserve">- </w:t>
            </w:r>
            <w:r w:rsidRPr="00561B50">
              <w:rPr>
                <w:rFonts w:cstheme="minorHAnsi"/>
                <w:sz w:val="24"/>
                <w:szCs w:val="24"/>
              </w:rPr>
              <w:t>developed by regional cross sector groups through collaboration and engagement with key stakeholders. using the Climate Change Risk Assessment Guidance for PSBs.</w:t>
            </w:r>
          </w:p>
          <w:p w14:paraId="19B9804B" w14:textId="77777777" w:rsidR="00561B50" w:rsidRPr="00561B50" w:rsidRDefault="00561B50" w:rsidP="00561B50">
            <w:pPr>
              <w:rPr>
                <w:rFonts w:cstheme="minorHAnsi"/>
                <w:sz w:val="24"/>
                <w:szCs w:val="24"/>
              </w:rPr>
            </w:pPr>
          </w:p>
          <w:p w14:paraId="621AE50D" w14:textId="5AE27A5A" w:rsidR="00F4474C" w:rsidRDefault="00561B50" w:rsidP="00561B50">
            <w:pPr>
              <w:pStyle w:val="ListParagraph"/>
              <w:ind w:left="0"/>
              <w:rPr>
                <w:rFonts w:cstheme="minorHAnsi"/>
                <w:sz w:val="24"/>
                <w:szCs w:val="24"/>
              </w:rPr>
            </w:pPr>
            <w:r w:rsidRPr="00561B50">
              <w:rPr>
                <w:rFonts w:cstheme="minorHAnsi"/>
                <w:sz w:val="24"/>
                <w:szCs w:val="24"/>
              </w:rPr>
              <w:t xml:space="preserve">Gwent Public Sector Climate Change Adaptation Programme </w:t>
            </w:r>
            <w:r w:rsidR="00375B0B">
              <w:rPr>
                <w:rFonts w:cstheme="minorHAnsi"/>
                <w:sz w:val="24"/>
                <w:szCs w:val="24"/>
              </w:rPr>
              <w:t xml:space="preserve">- </w:t>
            </w:r>
            <w:r w:rsidRPr="00561B50">
              <w:rPr>
                <w:rFonts w:cstheme="minorHAnsi"/>
                <w:sz w:val="24"/>
                <w:szCs w:val="24"/>
              </w:rPr>
              <w:t>developed and delivered by cross sector groups/partnerships through collaboration and engagement with key stakeholders, co-ordinating with local delivery groups.</w:t>
            </w:r>
          </w:p>
        </w:tc>
      </w:tr>
      <w:tr w:rsidR="00F4474C" w14:paraId="1931208D" w14:textId="7F1CFE7A" w:rsidTr="1841460C">
        <w:trPr>
          <w:trHeight w:val="588"/>
        </w:trPr>
        <w:tc>
          <w:tcPr>
            <w:tcW w:w="2977" w:type="dxa"/>
            <w:vMerge/>
          </w:tcPr>
          <w:p w14:paraId="35692774" w14:textId="77777777" w:rsidR="00F4474C" w:rsidRPr="007C37DC" w:rsidRDefault="00F4474C" w:rsidP="00246F90">
            <w:pPr>
              <w:pStyle w:val="ListParagraph"/>
              <w:numPr>
                <w:ilvl w:val="0"/>
                <w:numId w:val="6"/>
              </w:numPr>
              <w:rPr>
                <w:rFonts w:eastAsia="Times New Roman" w:cstheme="minorHAnsi"/>
                <w:bCs/>
                <w:sz w:val="24"/>
                <w:szCs w:val="24"/>
              </w:rPr>
            </w:pPr>
          </w:p>
        </w:tc>
        <w:tc>
          <w:tcPr>
            <w:tcW w:w="4536" w:type="dxa"/>
          </w:tcPr>
          <w:p w14:paraId="1E1B524D" w14:textId="0888713A" w:rsidR="00F4474C" w:rsidRDefault="00F4474C" w:rsidP="007049AA">
            <w:pPr>
              <w:pStyle w:val="ListParagraph"/>
              <w:ind w:left="0"/>
              <w:rPr>
                <w:rFonts w:cstheme="minorHAnsi"/>
                <w:sz w:val="24"/>
                <w:szCs w:val="24"/>
              </w:rPr>
            </w:pPr>
            <w:r>
              <w:rPr>
                <w:rFonts w:cstheme="minorHAnsi"/>
                <w:sz w:val="24"/>
                <w:szCs w:val="24"/>
              </w:rPr>
              <w:t xml:space="preserve">4.2 Outcome: </w:t>
            </w:r>
            <w:r w:rsidRPr="00DA7BB7">
              <w:rPr>
                <w:rFonts w:cstheme="minorHAnsi"/>
                <w:sz w:val="24"/>
                <w:szCs w:val="24"/>
              </w:rPr>
              <w:t xml:space="preserve">Public sector land and infrastructure is providing maximum benefits for people, </w:t>
            </w:r>
            <w:proofErr w:type="gramStart"/>
            <w:r w:rsidRPr="00DA7BB7">
              <w:rPr>
                <w:rFonts w:cstheme="minorHAnsi"/>
                <w:sz w:val="24"/>
                <w:szCs w:val="24"/>
              </w:rPr>
              <w:t>nature</w:t>
            </w:r>
            <w:proofErr w:type="gramEnd"/>
            <w:r w:rsidRPr="00DA7BB7">
              <w:rPr>
                <w:rFonts w:cstheme="minorHAnsi"/>
                <w:sz w:val="24"/>
                <w:szCs w:val="24"/>
              </w:rPr>
              <w:t xml:space="preserve"> and climate in an equitable way</w:t>
            </w:r>
          </w:p>
        </w:tc>
        <w:tc>
          <w:tcPr>
            <w:tcW w:w="7278" w:type="dxa"/>
          </w:tcPr>
          <w:p w14:paraId="3C4CE2AA" w14:textId="7E1C8521" w:rsidR="00592881" w:rsidRPr="00592881" w:rsidRDefault="00592881" w:rsidP="00592881">
            <w:pPr>
              <w:rPr>
                <w:rFonts w:cstheme="minorHAnsi"/>
                <w:sz w:val="24"/>
                <w:szCs w:val="24"/>
              </w:rPr>
            </w:pPr>
            <w:r w:rsidRPr="00592881">
              <w:rPr>
                <w:rFonts w:cstheme="minorHAnsi"/>
                <w:sz w:val="24"/>
                <w:szCs w:val="24"/>
              </w:rPr>
              <w:t>Engagement and communication</w:t>
            </w:r>
            <w:r>
              <w:rPr>
                <w:rFonts w:cstheme="minorHAnsi"/>
                <w:sz w:val="24"/>
                <w:szCs w:val="24"/>
              </w:rPr>
              <w:t xml:space="preserve"> -</w:t>
            </w:r>
            <w:r w:rsidRPr="00592881">
              <w:rPr>
                <w:rFonts w:cstheme="minorHAnsi"/>
                <w:sz w:val="24"/>
                <w:szCs w:val="24"/>
              </w:rPr>
              <w:t xml:space="preserve"> To inform, involve and learn from </w:t>
            </w:r>
            <w:proofErr w:type="gramStart"/>
            <w:r w:rsidRPr="00592881">
              <w:rPr>
                <w:rFonts w:cstheme="minorHAnsi"/>
                <w:sz w:val="24"/>
                <w:szCs w:val="24"/>
              </w:rPr>
              <w:t>Public</w:t>
            </w:r>
            <w:proofErr w:type="gramEnd"/>
            <w:r w:rsidRPr="00592881">
              <w:rPr>
                <w:rFonts w:cstheme="minorHAnsi"/>
                <w:sz w:val="24"/>
                <w:szCs w:val="24"/>
              </w:rPr>
              <w:t xml:space="preserve"> sector officers involved with all aspects of public sector land and infrastructure and key stakeholders, through collaborative and cross-sector activity, supported by regional, Gwent-focussed, engagement and communications resources.</w:t>
            </w:r>
          </w:p>
          <w:p w14:paraId="2FF1DA7D" w14:textId="77777777" w:rsidR="00592881" w:rsidRDefault="00592881" w:rsidP="00592881">
            <w:pPr>
              <w:rPr>
                <w:rFonts w:cstheme="minorHAnsi"/>
                <w:sz w:val="24"/>
                <w:szCs w:val="24"/>
              </w:rPr>
            </w:pPr>
          </w:p>
          <w:p w14:paraId="6CA078FC" w14:textId="68373F41" w:rsidR="00592881" w:rsidRDefault="00592881" w:rsidP="00592881">
            <w:pPr>
              <w:rPr>
                <w:rFonts w:cstheme="minorHAnsi"/>
                <w:sz w:val="24"/>
                <w:szCs w:val="24"/>
              </w:rPr>
            </w:pPr>
            <w:r w:rsidRPr="00592881">
              <w:rPr>
                <w:rFonts w:cstheme="minorHAnsi"/>
                <w:sz w:val="24"/>
                <w:szCs w:val="24"/>
              </w:rPr>
              <w:t xml:space="preserve">Co-ordinate regional groups/partnerships/networks </w:t>
            </w:r>
            <w:r>
              <w:rPr>
                <w:rFonts w:cstheme="minorHAnsi"/>
                <w:sz w:val="24"/>
                <w:szCs w:val="24"/>
              </w:rPr>
              <w:t xml:space="preserve">- </w:t>
            </w:r>
            <w:r w:rsidRPr="00592881">
              <w:rPr>
                <w:rFonts w:cstheme="minorHAnsi"/>
                <w:sz w:val="24"/>
                <w:szCs w:val="24"/>
              </w:rPr>
              <w:t xml:space="preserve">of public sector officers involved with all aspects of public sector land and infrastructure, collaborating with organisations and groups involved in community well-being, </w:t>
            </w:r>
            <w:proofErr w:type="gramStart"/>
            <w:r w:rsidRPr="00592881">
              <w:rPr>
                <w:rFonts w:cstheme="minorHAnsi"/>
                <w:sz w:val="24"/>
                <w:szCs w:val="24"/>
              </w:rPr>
              <w:t>nature</w:t>
            </w:r>
            <w:proofErr w:type="gramEnd"/>
            <w:r w:rsidRPr="00592881">
              <w:rPr>
                <w:rFonts w:cstheme="minorHAnsi"/>
                <w:sz w:val="24"/>
                <w:szCs w:val="24"/>
              </w:rPr>
              <w:t xml:space="preserve"> and climate initiatives.</w:t>
            </w:r>
          </w:p>
          <w:p w14:paraId="7D758013" w14:textId="77777777" w:rsidR="00592881" w:rsidRPr="00592881" w:rsidRDefault="00592881" w:rsidP="00592881">
            <w:pPr>
              <w:rPr>
                <w:rFonts w:cstheme="minorHAnsi"/>
                <w:sz w:val="24"/>
                <w:szCs w:val="24"/>
              </w:rPr>
            </w:pPr>
          </w:p>
          <w:p w14:paraId="165B9A70" w14:textId="6B2D5F79" w:rsidR="00F4474C" w:rsidRDefault="00592881" w:rsidP="00592881">
            <w:pPr>
              <w:pStyle w:val="ListParagraph"/>
              <w:ind w:left="0"/>
              <w:rPr>
                <w:rFonts w:cstheme="minorHAnsi"/>
                <w:sz w:val="24"/>
                <w:szCs w:val="24"/>
              </w:rPr>
            </w:pPr>
            <w:r w:rsidRPr="00592881">
              <w:rPr>
                <w:rFonts w:cstheme="minorHAnsi"/>
                <w:sz w:val="24"/>
                <w:szCs w:val="24"/>
              </w:rPr>
              <w:t xml:space="preserve">Enabling delivery of collaborative regional/sub-regional initiatives </w:t>
            </w:r>
            <w:r>
              <w:rPr>
                <w:rFonts w:cstheme="minorHAnsi"/>
                <w:sz w:val="24"/>
                <w:szCs w:val="24"/>
              </w:rPr>
              <w:t xml:space="preserve">- </w:t>
            </w:r>
            <w:r w:rsidRPr="00592881">
              <w:rPr>
                <w:rFonts w:cstheme="minorHAnsi"/>
                <w:sz w:val="24"/>
                <w:szCs w:val="24"/>
              </w:rPr>
              <w:t>connecting people and the public estate for mutual benefit.</w:t>
            </w:r>
          </w:p>
        </w:tc>
      </w:tr>
      <w:tr w:rsidR="00F4474C" w14:paraId="2A4F66CE" w14:textId="76B4583C" w:rsidTr="1841460C">
        <w:trPr>
          <w:trHeight w:val="588"/>
        </w:trPr>
        <w:tc>
          <w:tcPr>
            <w:tcW w:w="2977" w:type="dxa"/>
          </w:tcPr>
          <w:p w14:paraId="475B22FC" w14:textId="1C87304A" w:rsidR="00F4474C" w:rsidRPr="00BD156D" w:rsidRDefault="00F4474C" w:rsidP="00BD156D">
            <w:pPr>
              <w:rPr>
                <w:rFonts w:eastAsia="Times New Roman" w:cstheme="minorHAnsi"/>
                <w:bCs/>
                <w:sz w:val="24"/>
                <w:szCs w:val="24"/>
              </w:rPr>
            </w:pPr>
            <w:r>
              <w:rPr>
                <w:rFonts w:eastAsia="Times New Roman" w:cstheme="minorHAnsi"/>
                <w:bCs/>
                <w:sz w:val="24"/>
                <w:szCs w:val="24"/>
              </w:rPr>
              <w:lastRenderedPageBreak/>
              <w:t>5.</w:t>
            </w:r>
            <w:r w:rsidRPr="00AD36F5">
              <w:rPr>
                <w:rFonts w:eastAsia="Times New Roman" w:cstheme="minorHAnsi"/>
                <w:bCs/>
                <w:sz w:val="24"/>
                <w:szCs w:val="24"/>
              </w:rPr>
              <w:t>Additional cross-cutting theme highlighted in feedback from Workshops and the Economic Chances &amp; Climate-Ready Community mapping exercises</w:t>
            </w:r>
          </w:p>
        </w:tc>
        <w:tc>
          <w:tcPr>
            <w:tcW w:w="4536" w:type="dxa"/>
          </w:tcPr>
          <w:p w14:paraId="0E59E914" w14:textId="4926687D" w:rsidR="00F4474C" w:rsidRDefault="00F4474C" w:rsidP="007049AA">
            <w:pPr>
              <w:pStyle w:val="ListParagraph"/>
              <w:ind w:left="0"/>
              <w:rPr>
                <w:rFonts w:cstheme="minorHAnsi"/>
                <w:sz w:val="24"/>
                <w:szCs w:val="24"/>
              </w:rPr>
            </w:pPr>
            <w:r w:rsidRPr="00B81AB8">
              <w:rPr>
                <w:rFonts w:cstheme="minorHAnsi"/>
                <w:sz w:val="24"/>
                <w:szCs w:val="24"/>
              </w:rPr>
              <w:t>5.1 Outcome: A coordinated and integrated cross-sector partnership approach to Food, with a focus on addressing food insecurity &amp; supporting the community food sector, developing the Gwent food economy, and promoting healthy, local &amp; sustainable food production and consumption practices.</w:t>
            </w:r>
          </w:p>
        </w:tc>
        <w:tc>
          <w:tcPr>
            <w:tcW w:w="7278" w:type="dxa"/>
          </w:tcPr>
          <w:p w14:paraId="767FEED8" w14:textId="77777777" w:rsidR="00616B09" w:rsidRDefault="00616B09" w:rsidP="00616B09">
            <w:pPr>
              <w:rPr>
                <w:rFonts w:cstheme="minorHAnsi"/>
                <w:sz w:val="24"/>
                <w:szCs w:val="24"/>
              </w:rPr>
            </w:pPr>
            <w:r w:rsidRPr="00616B09">
              <w:rPr>
                <w:rFonts w:cstheme="minorHAnsi"/>
                <w:sz w:val="24"/>
                <w:szCs w:val="24"/>
              </w:rPr>
              <w:t xml:space="preserve">Regional Strategic Leadership – PSB organisations to agree to take collective action to shape the food system across Gwent to address issues relating to food insecurity, the food sector and economy, healthy and sustainable food </w:t>
            </w:r>
            <w:proofErr w:type="gramStart"/>
            <w:r w:rsidRPr="00616B09">
              <w:rPr>
                <w:rFonts w:cstheme="minorHAnsi"/>
                <w:sz w:val="24"/>
                <w:szCs w:val="24"/>
              </w:rPr>
              <w:t>production</w:t>
            </w:r>
            <w:proofErr w:type="gramEnd"/>
            <w:r w:rsidRPr="00616B09">
              <w:rPr>
                <w:rFonts w:cstheme="minorHAnsi"/>
                <w:sz w:val="24"/>
                <w:szCs w:val="24"/>
              </w:rPr>
              <w:t xml:space="preserve"> and consumption to support the Cymru Can Strategy published by the Future Generations Commissioner where food is identified as a key area of focus.</w:t>
            </w:r>
          </w:p>
          <w:p w14:paraId="5A828CEF" w14:textId="77777777" w:rsidR="00616B09" w:rsidRPr="00616B09" w:rsidRDefault="00616B09" w:rsidP="00616B09">
            <w:pPr>
              <w:rPr>
                <w:rFonts w:cstheme="minorHAnsi"/>
                <w:sz w:val="24"/>
                <w:szCs w:val="24"/>
              </w:rPr>
            </w:pPr>
          </w:p>
          <w:p w14:paraId="24FAD5CC" w14:textId="77777777" w:rsidR="00616B09" w:rsidRDefault="00616B09" w:rsidP="00616B09">
            <w:pPr>
              <w:rPr>
                <w:rFonts w:cstheme="minorHAnsi"/>
                <w:sz w:val="24"/>
                <w:szCs w:val="24"/>
              </w:rPr>
            </w:pPr>
            <w:r w:rsidRPr="00616B09">
              <w:rPr>
                <w:rFonts w:cstheme="minorHAnsi"/>
                <w:sz w:val="24"/>
                <w:szCs w:val="24"/>
              </w:rPr>
              <w:t xml:space="preserve">Influence Public Sector Food Provision – Identify stakeholders, reviewing opportunities for healthier and sustainable food consumption (e.g. schools, colleges, </w:t>
            </w:r>
            <w:proofErr w:type="gramStart"/>
            <w:r w:rsidRPr="00616B09">
              <w:rPr>
                <w:rFonts w:cstheme="minorHAnsi"/>
                <w:sz w:val="24"/>
                <w:szCs w:val="24"/>
              </w:rPr>
              <w:t>leisure</w:t>
            </w:r>
            <w:proofErr w:type="gramEnd"/>
            <w:r w:rsidRPr="00616B09">
              <w:rPr>
                <w:rFonts w:cstheme="minorHAnsi"/>
                <w:sz w:val="24"/>
                <w:szCs w:val="24"/>
              </w:rPr>
              <w:t xml:space="preserve"> and cultural settings etc)</w:t>
            </w:r>
          </w:p>
          <w:p w14:paraId="1A6A9F40" w14:textId="77777777" w:rsidR="00616B09" w:rsidRPr="00616B09" w:rsidRDefault="00616B09" w:rsidP="00616B09">
            <w:pPr>
              <w:rPr>
                <w:rFonts w:cstheme="minorHAnsi"/>
                <w:sz w:val="24"/>
                <w:szCs w:val="24"/>
              </w:rPr>
            </w:pPr>
          </w:p>
          <w:p w14:paraId="45E8BA5E" w14:textId="77777777" w:rsidR="00616B09" w:rsidRDefault="00616B09" w:rsidP="00616B09">
            <w:pPr>
              <w:rPr>
                <w:rFonts w:cstheme="minorHAnsi"/>
                <w:sz w:val="24"/>
                <w:szCs w:val="24"/>
              </w:rPr>
            </w:pPr>
            <w:r w:rsidRPr="00616B09">
              <w:rPr>
                <w:rFonts w:cstheme="minorHAnsi"/>
                <w:sz w:val="24"/>
                <w:szCs w:val="24"/>
              </w:rPr>
              <w:t>Influence Wider Gwent Food Economy - Identify stakeholders, strengthen mapping of relevant activities for community food initiatives, food businesses, and growing spaces and gardens.</w:t>
            </w:r>
          </w:p>
          <w:p w14:paraId="5C1193CB" w14:textId="77777777" w:rsidR="00616B09" w:rsidRPr="00616B09" w:rsidRDefault="00616B09" w:rsidP="00616B09">
            <w:pPr>
              <w:rPr>
                <w:rFonts w:cstheme="minorHAnsi"/>
                <w:sz w:val="24"/>
                <w:szCs w:val="24"/>
              </w:rPr>
            </w:pPr>
          </w:p>
          <w:p w14:paraId="7FA9F83E" w14:textId="0C427807" w:rsidR="00F4474C" w:rsidRPr="00B81AB8" w:rsidRDefault="00616B09" w:rsidP="00616B09">
            <w:pPr>
              <w:pStyle w:val="ListParagraph"/>
              <w:ind w:left="0"/>
              <w:rPr>
                <w:rFonts w:cstheme="minorHAnsi"/>
                <w:sz w:val="24"/>
                <w:szCs w:val="24"/>
              </w:rPr>
            </w:pPr>
            <w:r w:rsidRPr="00616B09">
              <w:rPr>
                <w:rFonts w:cstheme="minorHAnsi"/>
                <w:sz w:val="24"/>
                <w:szCs w:val="24"/>
              </w:rPr>
              <w:t>Addressing Food Insecurity - Partnership approach to addressing common Food Insecurity issues across the region through improving understanding of regional situation, reviewing funding pathways for food poverty, delivering regional initiatives where appropriate e.g. regional food events/conferences (Gwent Food Summit).</w:t>
            </w:r>
          </w:p>
        </w:tc>
      </w:tr>
    </w:tbl>
    <w:p w14:paraId="3E8CC76B" w14:textId="77777777" w:rsidR="007049AA" w:rsidRDefault="007049AA" w:rsidP="00FF2D8E">
      <w:pPr>
        <w:pStyle w:val="ListParagraph"/>
        <w:ind w:left="360"/>
        <w:rPr>
          <w:rFonts w:cstheme="minorHAnsi"/>
          <w:sz w:val="24"/>
          <w:szCs w:val="24"/>
        </w:rPr>
      </w:pPr>
    </w:p>
    <w:p w14:paraId="2F37BFCD" w14:textId="77777777" w:rsidR="00F4474C" w:rsidRDefault="00F4474C" w:rsidP="00B17CD1">
      <w:pPr>
        <w:pStyle w:val="ListParagraph"/>
        <w:numPr>
          <w:ilvl w:val="1"/>
          <w:numId w:val="11"/>
        </w:numPr>
        <w:rPr>
          <w:rFonts w:cstheme="minorHAnsi"/>
          <w:sz w:val="24"/>
          <w:szCs w:val="24"/>
        </w:rPr>
        <w:sectPr w:rsidR="00F4474C" w:rsidSect="00C43CD9">
          <w:pgSz w:w="16838" w:h="11906" w:orient="landscape" w:code="9"/>
          <w:pgMar w:top="851" w:right="1021" w:bottom="851" w:left="1021" w:header="709" w:footer="709" w:gutter="0"/>
          <w:cols w:space="708"/>
          <w:docGrid w:linePitch="360"/>
        </w:sectPr>
      </w:pPr>
    </w:p>
    <w:p w14:paraId="79DB625F" w14:textId="00387A95" w:rsidR="007049AA" w:rsidRDefault="008D2DC7" w:rsidP="00B17CD1">
      <w:pPr>
        <w:pStyle w:val="ListParagraph"/>
        <w:numPr>
          <w:ilvl w:val="1"/>
          <w:numId w:val="11"/>
        </w:numPr>
        <w:rPr>
          <w:rFonts w:cstheme="minorHAnsi"/>
          <w:sz w:val="24"/>
          <w:szCs w:val="24"/>
        </w:rPr>
      </w:pPr>
      <w:r w:rsidRPr="008D2DC7">
        <w:rPr>
          <w:rFonts w:cstheme="minorHAnsi"/>
          <w:sz w:val="24"/>
          <w:szCs w:val="24"/>
        </w:rPr>
        <w:lastRenderedPageBreak/>
        <w:t xml:space="preserve">The short-term activity identified </w:t>
      </w:r>
      <w:r w:rsidR="00584F7C">
        <w:rPr>
          <w:rFonts w:cstheme="minorHAnsi"/>
          <w:sz w:val="24"/>
          <w:szCs w:val="24"/>
        </w:rPr>
        <w:t xml:space="preserve">for each outcome </w:t>
      </w:r>
      <w:r w:rsidRPr="008D2DC7">
        <w:rPr>
          <w:rFonts w:cstheme="minorHAnsi"/>
          <w:sz w:val="24"/>
          <w:szCs w:val="24"/>
        </w:rPr>
        <w:t>sets the proposed initial focus for the first 12 months of delivery for the PSB</w:t>
      </w:r>
      <w:r w:rsidR="00584F7C">
        <w:rPr>
          <w:rFonts w:cstheme="minorHAnsi"/>
          <w:sz w:val="24"/>
          <w:szCs w:val="24"/>
        </w:rPr>
        <w:t>.</w:t>
      </w:r>
      <w:r w:rsidRPr="008D2DC7">
        <w:rPr>
          <w:rFonts w:cstheme="minorHAnsi"/>
          <w:sz w:val="24"/>
          <w:szCs w:val="24"/>
        </w:rPr>
        <w:t xml:space="preserve"> </w:t>
      </w:r>
      <w:r w:rsidR="007075A2">
        <w:rPr>
          <w:rFonts w:cstheme="minorHAnsi"/>
          <w:sz w:val="24"/>
          <w:szCs w:val="24"/>
        </w:rPr>
        <w:t xml:space="preserve">The </w:t>
      </w:r>
      <w:r w:rsidR="008E5F5A">
        <w:rPr>
          <w:rFonts w:cstheme="minorHAnsi"/>
          <w:sz w:val="24"/>
          <w:szCs w:val="24"/>
        </w:rPr>
        <w:t>‘</w:t>
      </w:r>
      <w:r w:rsidR="00C53F62">
        <w:rPr>
          <w:rFonts w:cstheme="minorHAnsi"/>
          <w:sz w:val="24"/>
          <w:szCs w:val="24"/>
        </w:rPr>
        <w:t>conditions required</w:t>
      </w:r>
      <w:r w:rsidR="008E5F5A">
        <w:rPr>
          <w:rFonts w:cstheme="minorHAnsi"/>
          <w:sz w:val="24"/>
          <w:szCs w:val="24"/>
        </w:rPr>
        <w:t>’</w:t>
      </w:r>
      <w:r w:rsidR="00C53F62">
        <w:rPr>
          <w:rFonts w:cstheme="minorHAnsi"/>
          <w:sz w:val="24"/>
          <w:szCs w:val="24"/>
        </w:rPr>
        <w:t xml:space="preserve"> </w:t>
      </w:r>
      <w:r w:rsidR="00A02750">
        <w:rPr>
          <w:rFonts w:cstheme="minorHAnsi"/>
          <w:sz w:val="24"/>
          <w:szCs w:val="24"/>
        </w:rPr>
        <w:t xml:space="preserve">recognise the </w:t>
      </w:r>
      <w:r w:rsidR="00152185">
        <w:rPr>
          <w:rFonts w:cstheme="minorHAnsi"/>
          <w:sz w:val="24"/>
          <w:szCs w:val="24"/>
        </w:rPr>
        <w:t>res</w:t>
      </w:r>
      <w:r w:rsidR="00152185" w:rsidRPr="00152185">
        <w:rPr>
          <w:rFonts w:cstheme="minorHAnsi"/>
          <w:sz w:val="24"/>
          <w:szCs w:val="24"/>
        </w:rPr>
        <w:t xml:space="preserve">ponsibility for the delivery </w:t>
      </w:r>
      <w:r w:rsidR="00110C58">
        <w:rPr>
          <w:rFonts w:cstheme="minorHAnsi"/>
          <w:sz w:val="24"/>
          <w:szCs w:val="24"/>
        </w:rPr>
        <w:t xml:space="preserve">of the outcome </w:t>
      </w:r>
      <w:r w:rsidR="00152185" w:rsidRPr="00152185">
        <w:rPr>
          <w:rFonts w:cstheme="minorHAnsi"/>
          <w:sz w:val="24"/>
          <w:szCs w:val="24"/>
        </w:rPr>
        <w:t>will sit at multiple levels</w:t>
      </w:r>
      <w:r w:rsidR="00C9241E">
        <w:rPr>
          <w:rFonts w:cstheme="minorHAnsi"/>
          <w:sz w:val="24"/>
          <w:szCs w:val="24"/>
        </w:rPr>
        <w:t xml:space="preserve"> and demonstrates the </w:t>
      </w:r>
      <w:r w:rsidR="008607EB">
        <w:rPr>
          <w:rFonts w:cstheme="minorHAnsi"/>
          <w:sz w:val="24"/>
          <w:szCs w:val="24"/>
        </w:rPr>
        <w:t>need to provide further and ongoing leadership in each. It is expected the subsequent delivery plans,</w:t>
      </w:r>
      <w:r w:rsidR="008607EB" w:rsidRPr="00A6764A">
        <w:t xml:space="preserve"> </w:t>
      </w:r>
      <w:r w:rsidR="008607EB" w:rsidRPr="00A6764A">
        <w:rPr>
          <w:rFonts w:cstheme="minorHAnsi"/>
          <w:sz w:val="24"/>
          <w:szCs w:val="24"/>
        </w:rPr>
        <w:t>medium- and long-term</w:t>
      </w:r>
      <w:r w:rsidR="008607EB">
        <w:rPr>
          <w:rFonts w:cstheme="minorHAnsi"/>
          <w:sz w:val="24"/>
          <w:szCs w:val="24"/>
        </w:rPr>
        <w:t xml:space="preserve"> </w:t>
      </w:r>
      <w:proofErr w:type="gramStart"/>
      <w:r w:rsidR="008607EB">
        <w:rPr>
          <w:rFonts w:cstheme="minorHAnsi"/>
          <w:sz w:val="24"/>
          <w:szCs w:val="24"/>
        </w:rPr>
        <w:t>activity in particular, will</w:t>
      </w:r>
      <w:proofErr w:type="gramEnd"/>
      <w:r w:rsidR="008607EB">
        <w:rPr>
          <w:rFonts w:cstheme="minorHAnsi"/>
          <w:sz w:val="24"/>
          <w:szCs w:val="24"/>
        </w:rPr>
        <w:t xml:space="preserve"> be further developed informed by this collaborative working</w:t>
      </w:r>
      <w:r w:rsidR="00BE24B7">
        <w:rPr>
          <w:rFonts w:cstheme="minorHAnsi"/>
          <w:sz w:val="24"/>
          <w:szCs w:val="24"/>
        </w:rPr>
        <w:t>.</w:t>
      </w:r>
      <w:r w:rsidR="00D84393">
        <w:t xml:space="preserve"> </w:t>
      </w:r>
      <w:r w:rsidR="00D84393" w:rsidRPr="00D84393">
        <w:rPr>
          <w:rFonts w:cstheme="minorHAnsi"/>
          <w:sz w:val="24"/>
          <w:szCs w:val="24"/>
        </w:rPr>
        <w:t>This will ensure the further development of the delivery plan meets the PSB ambition for the citizens of Gwent and has the optimal conditions to succeed</w:t>
      </w:r>
      <w:r w:rsidR="00955988">
        <w:rPr>
          <w:rFonts w:cstheme="minorHAnsi"/>
          <w:sz w:val="24"/>
          <w:szCs w:val="24"/>
        </w:rPr>
        <w:t>.</w:t>
      </w:r>
    </w:p>
    <w:p w14:paraId="2C8BB4D1" w14:textId="77777777" w:rsidR="00BE24B7" w:rsidRDefault="00BE24B7" w:rsidP="00BE24B7">
      <w:pPr>
        <w:pStyle w:val="ListParagraph"/>
        <w:ind w:left="360"/>
        <w:rPr>
          <w:rFonts w:cstheme="minorHAnsi"/>
          <w:sz w:val="24"/>
          <w:szCs w:val="24"/>
        </w:rPr>
      </w:pPr>
    </w:p>
    <w:p w14:paraId="73FF802C" w14:textId="47BD65CC" w:rsidR="00391C06" w:rsidRDefault="00C9241E" w:rsidP="00B17CD1">
      <w:pPr>
        <w:pStyle w:val="ListParagraph"/>
        <w:numPr>
          <w:ilvl w:val="1"/>
          <w:numId w:val="11"/>
        </w:numPr>
        <w:rPr>
          <w:rFonts w:cstheme="minorHAnsi"/>
          <w:sz w:val="24"/>
          <w:szCs w:val="24"/>
        </w:rPr>
      </w:pPr>
      <w:r w:rsidRPr="00152185">
        <w:rPr>
          <w:rFonts w:cstheme="minorHAnsi"/>
          <w:sz w:val="24"/>
          <w:szCs w:val="24"/>
        </w:rPr>
        <w:t>To</w:t>
      </w:r>
      <w:r>
        <w:rPr>
          <w:rFonts w:cstheme="minorHAnsi"/>
          <w:sz w:val="24"/>
          <w:szCs w:val="24"/>
        </w:rPr>
        <w:t xml:space="preserve"> further </w:t>
      </w:r>
      <w:r w:rsidR="00152185" w:rsidRPr="00152185">
        <w:rPr>
          <w:rFonts w:cstheme="minorHAnsi"/>
          <w:sz w:val="24"/>
          <w:szCs w:val="24"/>
        </w:rPr>
        <w:t>develop and implement the delivery plans</w:t>
      </w:r>
      <w:r>
        <w:rPr>
          <w:rFonts w:cstheme="minorHAnsi"/>
          <w:sz w:val="24"/>
          <w:szCs w:val="24"/>
        </w:rPr>
        <w:t xml:space="preserve"> for the agreed outcomes</w:t>
      </w:r>
      <w:r w:rsidR="00152185" w:rsidRPr="00152185">
        <w:rPr>
          <w:rFonts w:cstheme="minorHAnsi"/>
          <w:sz w:val="24"/>
          <w:szCs w:val="24"/>
        </w:rPr>
        <w:t>, it is recommended</w:t>
      </w:r>
      <w:r>
        <w:rPr>
          <w:rFonts w:cstheme="minorHAnsi"/>
          <w:sz w:val="24"/>
          <w:szCs w:val="24"/>
        </w:rPr>
        <w:t xml:space="preserve"> </w:t>
      </w:r>
      <w:r w:rsidR="009726DF">
        <w:rPr>
          <w:rFonts w:cstheme="minorHAnsi"/>
          <w:sz w:val="24"/>
          <w:szCs w:val="24"/>
        </w:rPr>
        <w:t>the PSB agree that</w:t>
      </w:r>
      <w:r w:rsidR="003E58AD">
        <w:rPr>
          <w:rFonts w:cstheme="minorHAnsi"/>
          <w:sz w:val="24"/>
          <w:szCs w:val="24"/>
        </w:rPr>
        <w:t xml:space="preserve"> a</w:t>
      </w:r>
      <w:r w:rsidR="009726DF">
        <w:rPr>
          <w:rFonts w:cstheme="minorHAnsi"/>
          <w:sz w:val="24"/>
          <w:szCs w:val="24"/>
        </w:rPr>
        <w:t xml:space="preserve"> </w:t>
      </w:r>
      <w:r w:rsidR="00152185" w:rsidRPr="00152185">
        <w:rPr>
          <w:rFonts w:cstheme="minorHAnsi"/>
          <w:sz w:val="24"/>
          <w:szCs w:val="24"/>
        </w:rPr>
        <w:t>leadership group</w:t>
      </w:r>
      <w:r w:rsidR="003E58AD">
        <w:rPr>
          <w:rFonts w:cstheme="minorHAnsi"/>
          <w:sz w:val="24"/>
          <w:szCs w:val="24"/>
        </w:rPr>
        <w:t xml:space="preserve"> or groups</w:t>
      </w:r>
      <w:r>
        <w:rPr>
          <w:rFonts w:cstheme="minorHAnsi"/>
          <w:sz w:val="24"/>
          <w:szCs w:val="24"/>
        </w:rPr>
        <w:t xml:space="preserve"> are</w:t>
      </w:r>
      <w:r w:rsidR="009726DF">
        <w:rPr>
          <w:rFonts w:cstheme="minorHAnsi"/>
          <w:sz w:val="24"/>
          <w:szCs w:val="24"/>
        </w:rPr>
        <w:t xml:space="preserve"> </w:t>
      </w:r>
      <w:r w:rsidR="004D41D0">
        <w:rPr>
          <w:rFonts w:cstheme="minorHAnsi"/>
          <w:sz w:val="24"/>
          <w:szCs w:val="24"/>
        </w:rPr>
        <w:t>established with</w:t>
      </w:r>
      <w:r w:rsidR="009726DF">
        <w:rPr>
          <w:rFonts w:cstheme="minorHAnsi"/>
          <w:sz w:val="24"/>
          <w:szCs w:val="24"/>
        </w:rPr>
        <w:t xml:space="preserve"> responsibility for </w:t>
      </w:r>
      <w:r w:rsidR="00CF0641">
        <w:rPr>
          <w:rFonts w:cstheme="minorHAnsi"/>
          <w:sz w:val="24"/>
          <w:szCs w:val="24"/>
        </w:rPr>
        <w:t xml:space="preserve">ensuring </w:t>
      </w:r>
      <w:r w:rsidR="009726DF">
        <w:rPr>
          <w:rFonts w:cstheme="minorHAnsi"/>
          <w:sz w:val="24"/>
          <w:szCs w:val="24"/>
        </w:rPr>
        <w:t xml:space="preserve">delivery </w:t>
      </w:r>
      <w:r w:rsidR="00CF0641">
        <w:rPr>
          <w:rFonts w:cstheme="minorHAnsi"/>
          <w:sz w:val="24"/>
          <w:szCs w:val="24"/>
        </w:rPr>
        <w:t xml:space="preserve">is at the pace, scale and ambition the PSB </w:t>
      </w:r>
      <w:r w:rsidR="004D41D0">
        <w:rPr>
          <w:rFonts w:cstheme="minorHAnsi"/>
          <w:sz w:val="24"/>
          <w:szCs w:val="24"/>
        </w:rPr>
        <w:t xml:space="preserve">requires. The </w:t>
      </w:r>
      <w:r w:rsidR="003E58AD">
        <w:rPr>
          <w:rFonts w:cstheme="minorHAnsi"/>
          <w:sz w:val="24"/>
          <w:szCs w:val="24"/>
        </w:rPr>
        <w:t>specific</w:t>
      </w:r>
      <w:r w:rsidR="004D41D0">
        <w:rPr>
          <w:rFonts w:cstheme="minorHAnsi"/>
          <w:sz w:val="24"/>
          <w:szCs w:val="24"/>
        </w:rPr>
        <w:t xml:space="preserve"> </w:t>
      </w:r>
      <w:r w:rsidR="003E58AD">
        <w:rPr>
          <w:rFonts w:cstheme="minorHAnsi"/>
          <w:sz w:val="24"/>
          <w:szCs w:val="24"/>
        </w:rPr>
        <w:t>arrangements</w:t>
      </w:r>
      <w:r w:rsidR="00E404E2">
        <w:rPr>
          <w:rFonts w:cstheme="minorHAnsi"/>
          <w:sz w:val="24"/>
          <w:szCs w:val="24"/>
        </w:rPr>
        <w:t xml:space="preserve">, membership and structure will need to be </w:t>
      </w:r>
      <w:r w:rsidR="003E58AD">
        <w:rPr>
          <w:rFonts w:cstheme="minorHAnsi"/>
          <w:sz w:val="24"/>
          <w:szCs w:val="24"/>
        </w:rPr>
        <w:t>determined</w:t>
      </w:r>
      <w:r w:rsidR="000342C5">
        <w:rPr>
          <w:rFonts w:cstheme="minorHAnsi"/>
          <w:sz w:val="24"/>
          <w:szCs w:val="24"/>
        </w:rPr>
        <w:t xml:space="preserve"> and agreed</w:t>
      </w:r>
      <w:r w:rsidR="00E404E2">
        <w:rPr>
          <w:rFonts w:cstheme="minorHAnsi"/>
          <w:sz w:val="24"/>
          <w:szCs w:val="24"/>
        </w:rPr>
        <w:t xml:space="preserve"> following agreement of the</w:t>
      </w:r>
      <w:r w:rsidR="00CF4F9C">
        <w:rPr>
          <w:rFonts w:cstheme="minorHAnsi"/>
          <w:sz w:val="24"/>
          <w:szCs w:val="24"/>
        </w:rPr>
        <w:t xml:space="preserve"> chosen</w:t>
      </w:r>
      <w:r w:rsidR="00E404E2">
        <w:rPr>
          <w:rFonts w:cstheme="minorHAnsi"/>
          <w:sz w:val="24"/>
          <w:szCs w:val="24"/>
        </w:rPr>
        <w:t xml:space="preserve"> </w:t>
      </w:r>
      <w:r w:rsidR="003E58AD">
        <w:rPr>
          <w:rFonts w:cstheme="minorHAnsi"/>
          <w:sz w:val="24"/>
          <w:szCs w:val="24"/>
        </w:rPr>
        <w:t>outcomes by the PSB.</w:t>
      </w:r>
      <w:r w:rsidR="00E404E2">
        <w:rPr>
          <w:rFonts w:cstheme="minorHAnsi"/>
          <w:sz w:val="24"/>
          <w:szCs w:val="24"/>
        </w:rPr>
        <w:t xml:space="preserve"> </w:t>
      </w:r>
      <w:r w:rsidR="00374560">
        <w:rPr>
          <w:rFonts w:cstheme="minorHAnsi"/>
          <w:sz w:val="24"/>
          <w:szCs w:val="24"/>
        </w:rPr>
        <w:t>Initially the PSB is asked to agree</w:t>
      </w:r>
      <w:r w:rsidR="00374560" w:rsidRPr="00374560">
        <w:rPr>
          <w:rFonts w:cstheme="minorHAnsi"/>
          <w:sz w:val="24"/>
          <w:szCs w:val="24"/>
        </w:rPr>
        <w:t xml:space="preserve"> a senior lead responsibility holder from a PSB partner organisation</w:t>
      </w:r>
      <w:r w:rsidR="00374560">
        <w:rPr>
          <w:rFonts w:cstheme="minorHAnsi"/>
          <w:sz w:val="24"/>
          <w:szCs w:val="24"/>
        </w:rPr>
        <w:t xml:space="preserve"> </w:t>
      </w:r>
      <w:r w:rsidR="00130D79">
        <w:rPr>
          <w:rFonts w:cstheme="minorHAnsi"/>
          <w:sz w:val="24"/>
          <w:szCs w:val="24"/>
        </w:rPr>
        <w:t>for the group or group</w:t>
      </w:r>
      <w:r w:rsidR="00784CAB">
        <w:rPr>
          <w:rFonts w:cstheme="minorHAnsi"/>
          <w:sz w:val="24"/>
          <w:szCs w:val="24"/>
        </w:rPr>
        <w:t>s</w:t>
      </w:r>
      <w:r w:rsidR="00BA5006">
        <w:rPr>
          <w:rFonts w:cstheme="minorHAnsi"/>
          <w:sz w:val="24"/>
          <w:szCs w:val="24"/>
        </w:rPr>
        <w:t xml:space="preserve">. </w:t>
      </w:r>
      <w:r w:rsidR="00192EFD">
        <w:rPr>
          <w:rFonts w:cstheme="minorHAnsi"/>
          <w:sz w:val="24"/>
          <w:szCs w:val="24"/>
        </w:rPr>
        <w:t>The responsibilities for the group are set out in appendix</w:t>
      </w:r>
      <w:r w:rsidR="00707B8D">
        <w:rPr>
          <w:rFonts w:cstheme="minorHAnsi"/>
          <w:sz w:val="24"/>
          <w:szCs w:val="24"/>
        </w:rPr>
        <w:t xml:space="preserve"> 4.</w:t>
      </w:r>
    </w:p>
    <w:p w14:paraId="2BE50B27" w14:textId="77777777" w:rsidR="00391C06" w:rsidRPr="00391C06" w:rsidRDefault="00391C06" w:rsidP="00391C06">
      <w:pPr>
        <w:pStyle w:val="ListParagraph"/>
        <w:rPr>
          <w:rFonts w:cstheme="minorHAnsi"/>
          <w:sz w:val="24"/>
          <w:szCs w:val="24"/>
        </w:rPr>
      </w:pPr>
    </w:p>
    <w:p w14:paraId="48DCEBF1" w14:textId="0DBF0326" w:rsidR="00952E0C" w:rsidRDefault="00D75C9F" w:rsidP="00B17CD1">
      <w:pPr>
        <w:pStyle w:val="ListParagraph"/>
        <w:numPr>
          <w:ilvl w:val="1"/>
          <w:numId w:val="11"/>
        </w:numPr>
        <w:rPr>
          <w:rFonts w:cstheme="minorHAnsi"/>
          <w:sz w:val="24"/>
          <w:szCs w:val="24"/>
        </w:rPr>
      </w:pPr>
      <w:r w:rsidRPr="00826507">
        <w:rPr>
          <w:rFonts w:cstheme="minorHAnsi"/>
          <w:sz w:val="24"/>
          <w:szCs w:val="24"/>
        </w:rPr>
        <w:t xml:space="preserve">It is </w:t>
      </w:r>
      <w:r w:rsidR="0001644C" w:rsidRPr="00826507">
        <w:rPr>
          <w:rFonts w:cstheme="minorHAnsi"/>
          <w:sz w:val="24"/>
          <w:szCs w:val="24"/>
        </w:rPr>
        <w:t>recommended</w:t>
      </w:r>
      <w:r w:rsidRPr="00826507">
        <w:rPr>
          <w:rFonts w:cstheme="minorHAnsi"/>
          <w:sz w:val="24"/>
          <w:szCs w:val="24"/>
        </w:rPr>
        <w:t xml:space="preserve"> that the PSB </w:t>
      </w:r>
      <w:r w:rsidR="0001644C" w:rsidRPr="00826507">
        <w:rPr>
          <w:rFonts w:cstheme="minorHAnsi"/>
          <w:sz w:val="24"/>
          <w:szCs w:val="24"/>
        </w:rPr>
        <w:t>subsequently</w:t>
      </w:r>
      <w:r w:rsidRPr="00826507">
        <w:rPr>
          <w:rFonts w:cstheme="minorHAnsi"/>
          <w:sz w:val="24"/>
          <w:szCs w:val="24"/>
        </w:rPr>
        <w:t xml:space="preserve"> </w:t>
      </w:r>
      <w:r w:rsidR="00433961">
        <w:rPr>
          <w:rFonts w:cstheme="minorHAnsi"/>
          <w:sz w:val="24"/>
          <w:szCs w:val="24"/>
        </w:rPr>
        <w:t>request</w:t>
      </w:r>
      <w:r w:rsidR="009323CC">
        <w:rPr>
          <w:rFonts w:cstheme="minorHAnsi"/>
          <w:sz w:val="24"/>
          <w:szCs w:val="24"/>
        </w:rPr>
        <w:t xml:space="preserve">s </w:t>
      </w:r>
      <w:r w:rsidRPr="00826507">
        <w:rPr>
          <w:rFonts w:cstheme="minorHAnsi"/>
          <w:sz w:val="24"/>
          <w:szCs w:val="24"/>
        </w:rPr>
        <w:t>a</w:t>
      </w:r>
      <w:r w:rsidR="00F477BE">
        <w:rPr>
          <w:rFonts w:cstheme="minorHAnsi"/>
          <w:sz w:val="24"/>
          <w:szCs w:val="24"/>
        </w:rPr>
        <w:t xml:space="preserve"> highlight</w:t>
      </w:r>
      <w:r w:rsidR="0001644C" w:rsidRPr="00826507">
        <w:rPr>
          <w:rFonts w:cstheme="minorHAnsi"/>
          <w:sz w:val="24"/>
          <w:szCs w:val="24"/>
        </w:rPr>
        <w:t xml:space="preserve"> update report</w:t>
      </w:r>
      <w:r w:rsidR="00826507" w:rsidRPr="00826507">
        <w:rPr>
          <w:rFonts w:cstheme="minorHAnsi"/>
          <w:sz w:val="24"/>
          <w:szCs w:val="24"/>
        </w:rPr>
        <w:t xml:space="preserve"> </w:t>
      </w:r>
      <w:r w:rsidR="00CC36FE">
        <w:rPr>
          <w:rFonts w:cstheme="minorHAnsi"/>
          <w:sz w:val="24"/>
          <w:szCs w:val="24"/>
        </w:rPr>
        <w:t>bi-monthly</w:t>
      </w:r>
      <w:r w:rsidR="0001644C" w:rsidRPr="00826507">
        <w:rPr>
          <w:rFonts w:cstheme="minorHAnsi"/>
          <w:sz w:val="24"/>
          <w:szCs w:val="24"/>
        </w:rPr>
        <w:t xml:space="preserve"> </w:t>
      </w:r>
      <w:r w:rsidR="00DB5417" w:rsidRPr="00826507">
        <w:rPr>
          <w:rFonts w:cstheme="minorHAnsi"/>
          <w:sz w:val="24"/>
          <w:szCs w:val="24"/>
        </w:rPr>
        <w:t xml:space="preserve">on the progress of </w:t>
      </w:r>
      <w:r w:rsidR="00175A9D">
        <w:rPr>
          <w:rFonts w:cstheme="minorHAnsi"/>
          <w:sz w:val="24"/>
          <w:szCs w:val="24"/>
        </w:rPr>
        <w:t xml:space="preserve">each outcome </w:t>
      </w:r>
      <w:r w:rsidR="00DB5417" w:rsidRPr="00826507">
        <w:rPr>
          <w:rFonts w:cstheme="minorHAnsi"/>
          <w:sz w:val="24"/>
          <w:szCs w:val="24"/>
        </w:rPr>
        <w:t xml:space="preserve">focussed </w:t>
      </w:r>
      <w:r w:rsidR="00826507" w:rsidRPr="00826507">
        <w:rPr>
          <w:rFonts w:cstheme="minorHAnsi"/>
          <w:sz w:val="24"/>
          <w:szCs w:val="24"/>
        </w:rPr>
        <w:t>particularly</w:t>
      </w:r>
      <w:r w:rsidR="00DB5417" w:rsidRPr="00826507">
        <w:rPr>
          <w:rFonts w:cstheme="minorHAnsi"/>
          <w:sz w:val="24"/>
          <w:szCs w:val="24"/>
        </w:rPr>
        <w:t xml:space="preserve"> on highlighting any further </w:t>
      </w:r>
      <w:r w:rsidR="00826507" w:rsidRPr="00826507">
        <w:rPr>
          <w:rFonts w:cstheme="minorHAnsi"/>
          <w:sz w:val="24"/>
          <w:szCs w:val="24"/>
        </w:rPr>
        <w:t xml:space="preserve">steer or decisions required by the PSB to optimise delivery.  </w:t>
      </w:r>
    </w:p>
    <w:p w14:paraId="22540DC2" w14:textId="77777777" w:rsidR="003E3A54" w:rsidRDefault="003E3A54" w:rsidP="003E3A54">
      <w:pPr>
        <w:pStyle w:val="ListParagraph"/>
        <w:ind w:left="360"/>
        <w:rPr>
          <w:rFonts w:cstheme="minorHAnsi"/>
          <w:sz w:val="24"/>
          <w:szCs w:val="24"/>
        </w:rPr>
      </w:pPr>
    </w:p>
    <w:p w14:paraId="4810C9AC" w14:textId="2E7A1D54" w:rsidR="003E3A54" w:rsidRDefault="003E3A54" w:rsidP="00B17CD1">
      <w:pPr>
        <w:pStyle w:val="ListParagraph"/>
        <w:numPr>
          <w:ilvl w:val="1"/>
          <w:numId w:val="11"/>
        </w:numPr>
        <w:rPr>
          <w:rFonts w:cstheme="minorHAnsi"/>
          <w:sz w:val="24"/>
          <w:szCs w:val="24"/>
        </w:rPr>
      </w:pPr>
      <w:r w:rsidRPr="003E3A54">
        <w:rPr>
          <w:rFonts w:cstheme="minorHAnsi"/>
          <w:sz w:val="24"/>
          <w:szCs w:val="24"/>
        </w:rPr>
        <w:t>The PSB has</w:t>
      </w:r>
      <w:r w:rsidR="00115216">
        <w:rPr>
          <w:rFonts w:cstheme="minorHAnsi"/>
          <w:sz w:val="24"/>
          <w:szCs w:val="24"/>
        </w:rPr>
        <w:t xml:space="preserve"> </w:t>
      </w:r>
      <w:r w:rsidRPr="003E3A54">
        <w:rPr>
          <w:rFonts w:cstheme="minorHAnsi"/>
          <w:sz w:val="24"/>
          <w:szCs w:val="24"/>
        </w:rPr>
        <w:t xml:space="preserve">a </w:t>
      </w:r>
      <w:r w:rsidR="009441D3">
        <w:rPr>
          <w:rFonts w:cstheme="minorHAnsi"/>
          <w:sz w:val="24"/>
          <w:szCs w:val="24"/>
        </w:rPr>
        <w:t xml:space="preserve">draft </w:t>
      </w:r>
      <w:r w:rsidRPr="003E3A54">
        <w:rPr>
          <w:rFonts w:cstheme="minorHAnsi"/>
          <w:sz w:val="24"/>
          <w:szCs w:val="24"/>
        </w:rPr>
        <w:t>performance management framework (PMF)</w:t>
      </w:r>
      <w:r w:rsidR="006B3DF4">
        <w:rPr>
          <w:rFonts w:cstheme="minorHAnsi"/>
          <w:sz w:val="24"/>
          <w:szCs w:val="24"/>
        </w:rPr>
        <w:t xml:space="preserve"> t</w:t>
      </w:r>
      <w:r w:rsidRPr="003E3A54">
        <w:rPr>
          <w:rFonts w:cstheme="minorHAnsi"/>
          <w:sz w:val="24"/>
          <w:szCs w:val="24"/>
        </w:rPr>
        <w:t>o plan, manage and evaluate its delivery of the well-being plan, to ensure it is fulfilling its statutory duties and can be held to account for delivery. It is important that activity undertaken by the Gwent PSB is suitable to deliver its activity against the wellbeing objectives, is transparent, well communicated, and monitored and evaluated accurately to understand impact from delivery. To facilitate this the delivery plans for the outcome</w:t>
      </w:r>
      <w:r w:rsidR="00187F97">
        <w:rPr>
          <w:rFonts w:cstheme="minorHAnsi"/>
          <w:sz w:val="24"/>
          <w:szCs w:val="24"/>
        </w:rPr>
        <w:t>(s)</w:t>
      </w:r>
      <w:r w:rsidRPr="003E3A54">
        <w:rPr>
          <w:rFonts w:cstheme="minorHAnsi"/>
          <w:sz w:val="24"/>
          <w:szCs w:val="24"/>
        </w:rPr>
        <w:t xml:space="preserve"> agreed will be embedded within the framework</w:t>
      </w:r>
      <w:r w:rsidR="006D60E6">
        <w:rPr>
          <w:rFonts w:cstheme="minorHAnsi"/>
          <w:sz w:val="24"/>
          <w:szCs w:val="24"/>
        </w:rPr>
        <w:t xml:space="preserve"> and aligned to the well-being plan.</w:t>
      </w:r>
      <w:r w:rsidRPr="003E3A54">
        <w:rPr>
          <w:rFonts w:cstheme="minorHAnsi"/>
          <w:sz w:val="24"/>
          <w:szCs w:val="24"/>
        </w:rPr>
        <w:t xml:space="preserve"> This will enable performance of the outcomes to be monitored regularly and reported to the PSB </w:t>
      </w:r>
      <w:r w:rsidR="001B35CD">
        <w:rPr>
          <w:rFonts w:cstheme="minorHAnsi"/>
          <w:sz w:val="24"/>
          <w:szCs w:val="24"/>
        </w:rPr>
        <w:t xml:space="preserve">and </w:t>
      </w:r>
      <w:r w:rsidR="00C1254B">
        <w:rPr>
          <w:rFonts w:cstheme="minorHAnsi"/>
          <w:sz w:val="24"/>
          <w:szCs w:val="24"/>
        </w:rPr>
        <w:t>Gwent PSB scrutiny committee</w:t>
      </w:r>
      <w:r w:rsidRPr="003E3A54">
        <w:rPr>
          <w:rFonts w:cstheme="minorHAnsi"/>
          <w:sz w:val="24"/>
          <w:szCs w:val="24"/>
        </w:rPr>
        <w:t>. Where activity evolves, the framework will need to be adaptable to accommodate any future changes required.</w:t>
      </w:r>
    </w:p>
    <w:p w14:paraId="6CD39981" w14:textId="7AB6032C" w:rsidR="00867875" w:rsidRPr="006A629F" w:rsidRDefault="00536D5C" w:rsidP="00867875">
      <w:pPr>
        <w:tabs>
          <w:tab w:val="left" w:pos="0"/>
        </w:tabs>
        <w:spacing w:after="0" w:line="240" w:lineRule="auto"/>
        <w:ind w:left="720" w:hanging="720"/>
        <w:rPr>
          <w:rFonts w:cstheme="minorHAnsi"/>
          <w:b/>
          <w:bCs/>
          <w:sz w:val="24"/>
          <w:szCs w:val="24"/>
        </w:rPr>
      </w:pPr>
      <w:r>
        <w:rPr>
          <w:rFonts w:cstheme="minorHAnsi"/>
          <w:sz w:val="24"/>
          <w:szCs w:val="24"/>
        </w:rPr>
        <w:t>5</w:t>
      </w:r>
      <w:r w:rsidR="00867875" w:rsidRPr="006A629F">
        <w:rPr>
          <w:rFonts w:cstheme="minorHAnsi"/>
          <w:sz w:val="24"/>
          <w:szCs w:val="24"/>
        </w:rPr>
        <w:t xml:space="preserve">. </w:t>
      </w:r>
      <w:r w:rsidR="00867875" w:rsidRPr="006A629F">
        <w:rPr>
          <w:rFonts w:cstheme="minorHAnsi"/>
          <w:sz w:val="24"/>
          <w:szCs w:val="24"/>
        </w:rPr>
        <w:tab/>
      </w:r>
      <w:r w:rsidR="00867875" w:rsidRPr="006A629F">
        <w:rPr>
          <w:rFonts w:cstheme="minorHAnsi"/>
          <w:b/>
          <w:bCs/>
          <w:sz w:val="24"/>
          <w:szCs w:val="24"/>
        </w:rPr>
        <w:t>RESOURCES</w:t>
      </w:r>
    </w:p>
    <w:p w14:paraId="0CB4D2D7" w14:textId="77777777" w:rsidR="00867875" w:rsidRPr="006A629F" w:rsidRDefault="00867875" w:rsidP="00867875">
      <w:pPr>
        <w:tabs>
          <w:tab w:val="left" w:pos="0"/>
        </w:tabs>
        <w:spacing w:after="0" w:line="240" w:lineRule="auto"/>
        <w:ind w:left="720" w:hanging="720"/>
        <w:rPr>
          <w:rFonts w:cstheme="minorHAnsi"/>
          <w:sz w:val="24"/>
          <w:szCs w:val="24"/>
        </w:rPr>
      </w:pPr>
    </w:p>
    <w:p w14:paraId="10094804" w14:textId="777364EC" w:rsidR="00867875" w:rsidRPr="006A629F" w:rsidRDefault="00536D5C" w:rsidP="00867875">
      <w:pPr>
        <w:tabs>
          <w:tab w:val="left" w:pos="0"/>
        </w:tabs>
        <w:spacing w:after="0" w:line="240" w:lineRule="auto"/>
        <w:ind w:left="720" w:hanging="720"/>
        <w:rPr>
          <w:rFonts w:eastAsia="Times New Roman" w:cstheme="minorHAnsi"/>
          <w:sz w:val="24"/>
          <w:szCs w:val="24"/>
        </w:rPr>
      </w:pPr>
      <w:r>
        <w:rPr>
          <w:rFonts w:cstheme="minorHAnsi"/>
          <w:sz w:val="24"/>
          <w:szCs w:val="24"/>
        </w:rPr>
        <w:t>5</w:t>
      </w:r>
      <w:r w:rsidR="00867875" w:rsidRPr="006A629F">
        <w:rPr>
          <w:rFonts w:cstheme="minorHAnsi"/>
          <w:sz w:val="24"/>
          <w:szCs w:val="24"/>
        </w:rPr>
        <w:t xml:space="preserve">.1 </w:t>
      </w:r>
      <w:r w:rsidR="00867875" w:rsidRPr="006A629F">
        <w:rPr>
          <w:rFonts w:cstheme="minorHAnsi"/>
          <w:sz w:val="24"/>
          <w:szCs w:val="24"/>
        </w:rPr>
        <w:tab/>
      </w:r>
      <w:r w:rsidR="00867875" w:rsidRPr="006A629F">
        <w:rPr>
          <w:rFonts w:eastAsia="Times New Roman" w:cstheme="minorHAnsi"/>
          <w:sz w:val="24"/>
          <w:szCs w:val="24"/>
        </w:rPr>
        <w:t xml:space="preserve">The recommendations </w:t>
      </w:r>
      <w:r w:rsidR="00867875">
        <w:rPr>
          <w:rFonts w:eastAsia="Times New Roman" w:cstheme="minorHAnsi"/>
          <w:sz w:val="24"/>
          <w:szCs w:val="24"/>
        </w:rPr>
        <w:t xml:space="preserve">will predominately </w:t>
      </w:r>
      <w:r w:rsidR="00212F3A">
        <w:rPr>
          <w:rFonts w:eastAsia="Times New Roman" w:cstheme="minorHAnsi"/>
          <w:sz w:val="24"/>
          <w:szCs w:val="24"/>
        </w:rPr>
        <w:t xml:space="preserve">need to </w:t>
      </w:r>
      <w:r w:rsidR="00867875" w:rsidRPr="006A629F">
        <w:rPr>
          <w:rFonts w:eastAsia="Times New Roman" w:cstheme="minorHAnsi"/>
          <w:sz w:val="24"/>
          <w:szCs w:val="24"/>
        </w:rPr>
        <w:t xml:space="preserve">be delivered within </w:t>
      </w:r>
      <w:r w:rsidR="00212F3A">
        <w:rPr>
          <w:rFonts w:eastAsia="Times New Roman" w:cstheme="minorHAnsi"/>
          <w:sz w:val="24"/>
          <w:szCs w:val="24"/>
        </w:rPr>
        <w:t xml:space="preserve">existing </w:t>
      </w:r>
      <w:r w:rsidR="009411A1">
        <w:rPr>
          <w:rFonts w:eastAsia="Times New Roman" w:cstheme="minorHAnsi"/>
          <w:sz w:val="24"/>
          <w:szCs w:val="24"/>
        </w:rPr>
        <w:t>resources</w:t>
      </w:r>
      <w:r w:rsidR="00212F3A">
        <w:rPr>
          <w:rFonts w:eastAsia="Times New Roman" w:cstheme="minorHAnsi"/>
          <w:sz w:val="24"/>
          <w:szCs w:val="24"/>
        </w:rPr>
        <w:t xml:space="preserve">. </w:t>
      </w:r>
      <w:r w:rsidR="00286F29">
        <w:rPr>
          <w:rFonts w:eastAsia="Times New Roman" w:cstheme="minorHAnsi"/>
          <w:sz w:val="24"/>
          <w:szCs w:val="24"/>
        </w:rPr>
        <w:t xml:space="preserve">The work </w:t>
      </w:r>
      <w:r w:rsidR="00C37F74">
        <w:rPr>
          <w:rFonts w:eastAsia="Times New Roman" w:cstheme="minorHAnsi"/>
          <w:sz w:val="24"/>
          <w:szCs w:val="24"/>
        </w:rPr>
        <w:t xml:space="preserve">to inform the outcome options was </w:t>
      </w:r>
      <w:r w:rsidR="00286F29">
        <w:rPr>
          <w:rFonts w:eastAsia="Times New Roman" w:cstheme="minorHAnsi"/>
          <w:sz w:val="24"/>
          <w:szCs w:val="24"/>
        </w:rPr>
        <w:t xml:space="preserve">undertaken on the basis </w:t>
      </w:r>
      <w:r w:rsidR="00C37F74">
        <w:rPr>
          <w:rFonts w:eastAsia="Times New Roman" w:cstheme="minorHAnsi"/>
          <w:sz w:val="24"/>
          <w:szCs w:val="24"/>
        </w:rPr>
        <w:t>there was no new funding or resources available.</w:t>
      </w:r>
      <w:r w:rsidR="006F4FC8">
        <w:rPr>
          <w:rFonts w:eastAsia="Times New Roman" w:cstheme="minorHAnsi"/>
          <w:sz w:val="24"/>
          <w:szCs w:val="24"/>
        </w:rPr>
        <w:t xml:space="preserve"> </w:t>
      </w:r>
      <w:r w:rsidR="00286F29">
        <w:rPr>
          <w:rFonts w:eastAsia="Times New Roman" w:cstheme="minorHAnsi"/>
          <w:sz w:val="24"/>
          <w:szCs w:val="24"/>
        </w:rPr>
        <w:t>The leadership group</w:t>
      </w:r>
      <w:r w:rsidR="006F4FC8">
        <w:rPr>
          <w:rFonts w:eastAsia="Times New Roman" w:cstheme="minorHAnsi"/>
          <w:sz w:val="24"/>
          <w:szCs w:val="24"/>
        </w:rPr>
        <w:t>(</w:t>
      </w:r>
      <w:r w:rsidR="00286F29">
        <w:rPr>
          <w:rFonts w:eastAsia="Times New Roman" w:cstheme="minorHAnsi"/>
          <w:sz w:val="24"/>
          <w:szCs w:val="24"/>
        </w:rPr>
        <w:t>s</w:t>
      </w:r>
      <w:r w:rsidR="006F4FC8">
        <w:rPr>
          <w:rFonts w:eastAsia="Times New Roman" w:cstheme="minorHAnsi"/>
          <w:sz w:val="24"/>
          <w:szCs w:val="24"/>
        </w:rPr>
        <w:t>)</w:t>
      </w:r>
      <w:r w:rsidR="00286F29">
        <w:rPr>
          <w:rFonts w:eastAsia="Times New Roman" w:cstheme="minorHAnsi"/>
          <w:sz w:val="24"/>
          <w:szCs w:val="24"/>
        </w:rPr>
        <w:t xml:space="preserve"> will </w:t>
      </w:r>
      <w:r w:rsidR="00C37F74">
        <w:rPr>
          <w:rFonts w:eastAsia="Times New Roman" w:cstheme="minorHAnsi"/>
          <w:sz w:val="24"/>
          <w:szCs w:val="24"/>
        </w:rPr>
        <w:t xml:space="preserve">be responsible for identifying the resource requirement to deliver the PSB ambitions. </w:t>
      </w:r>
    </w:p>
    <w:p w14:paraId="4F1C86FC" w14:textId="77777777" w:rsidR="00867875" w:rsidRPr="006A629F" w:rsidRDefault="00867875" w:rsidP="00867875">
      <w:pPr>
        <w:tabs>
          <w:tab w:val="left" w:pos="0"/>
        </w:tabs>
        <w:spacing w:after="0" w:line="240" w:lineRule="auto"/>
        <w:ind w:left="720" w:hanging="720"/>
        <w:rPr>
          <w:rFonts w:eastAsia="Times New Roman" w:cstheme="minorHAnsi"/>
          <w:sz w:val="24"/>
          <w:szCs w:val="24"/>
        </w:rPr>
      </w:pPr>
    </w:p>
    <w:p w14:paraId="04825EE0" w14:textId="77777777" w:rsidR="00B17CD1" w:rsidRPr="001C67CE" w:rsidRDefault="00B17CD1" w:rsidP="00B17CD1">
      <w:pPr>
        <w:pStyle w:val="ListParagraph"/>
        <w:tabs>
          <w:tab w:val="left" w:pos="0"/>
        </w:tabs>
        <w:spacing w:after="0" w:line="240" w:lineRule="auto"/>
        <w:ind w:left="360"/>
        <w:rPr>
          <w:rFonts w:eastAsia="Times New Roman" w:cstheme="minorHAnsi"/>
          <w:sz w:val="24"/>
          <w:szCs w:val="24"/>
        </w:rPr>
      </w:pPr>
    </w:p>
    <w:p w14:paraId="187E76FE" w14:textId="030AC1FD" w:rsidR="00B17CD1" w:rsidRPr="00B17CD1" w:rsidRDefault="00B17CD1" w:rsidP="00B17CD1">
      <w:pPr>
        <w:pStyle w:val="ListParagraph"/>
        <w:numPr>
          <w:ilvl w:val="0"/>
          <w:numId w:val="13"/>
        </w:numPr>
        <w:spacing w:after="0" w:line="240" w:lineRule="auto"/>
        <w:rPr>
          <w:rFonts w:eastAsia="Calibri" w:cstheme="minorHAnsi"/>
          <w:b/>
          <w:sz w:val="24"/>
          <w:szCs w:val="24"/>
        </w:rPr>
      </w:pPr>
      <w:r w:rsidRPr="00B17CD1">
        <w:rPr>
          <w:rFonts w:eastAsia="Calibri" w:cstheme="minorHAnsi"/>
          <w:b/>
          <w:sz w:val="24"/>
          <w:szCs w:val="24"/>
        </w:rPr>
        <w:t>AUTHORS:</w:t>
      </w:r>
    </w:p>
    <w:p w14:paraId="46A7A9EB" w14:textId="771F816B" w:rsidR="00B17CD1" w:rsidRPr="0024279C" w:rsidRDefault="00B17CD1" w:rsidP="00B17CD1">
      <w:pPr>
        <w:spacing w:after="0" w:line="240" w:lineRule="auto"/>
        <w:ind w:left="360"/>
        <w:rPr>
          <w:rFonts w:eastAsia="Calibri" w:cstheme="minorHAnsi"/>
          <w:bCs/>
          <w:sz w:val="24"/>
          <w:szCs w:val="24"/>
        </w:rPr>
      </w:pPr>
      <w:r w:rsidRPr="0024279C">
        <w:rPr>
          <w:rFonts w:eastAsia="Calibri" w:cstheme="minorHAnsi"/>
          <w:bCs/>
          <w:sz w:val="24"/>
          <w:szCs w:val="24"/>
        </w:rPr>
        <w:t>Richard Jones, Monmouthshire CC (in partnership with the Area of Focus Leads)</w:t>
      </w:r>
    </w:p>
    <w:p w14:paraId="292E6654" w14:textId="77777777" w:rsidR="00B17CD1" w:rsidRPr="0024279C" w:rsidRDefault="00B17CD1" w:rsidP="00B17CD1">
      <w:pPr>
        <w:spacing w:after="0" w:line="240" w:lineRule="auto"/>
        <w:rPr>
          <w:rFonts w:eastAsia="Calibri" w:cstheme="minorHAnsi"/>
          <w:bCs/>
          <w:sz w:val="24"/>
          <w:szCs w:val="24"/>
        </w:rPr>
      </w:pPr>
    </w:p>
    <w:p w14:paraId="741862B4" w14:textId="4AFEF024" w:rsidR="00B17CD1" w:rsidRPr="00B17CD1" w:rsidRDefault="00B17CD1" w:rsidP="00B17CD1">
      <w:pPr>
        <w:pStyle w:val="ListParagraph"/>
        <w:numPr>
          <w:ilvl w:val="0"/>
          <w:numId w:val="13"/>
        </w:numPr>
        <w:spacing w:after="0" w:line="240" w:lineRule="auto"/>
        <w:rPr>
          <w:rFonts w:eastAsia="Calibri" w:cstheme="minorHAnsi"/>
          <w:b/>
          <w:sz w:val="24"/>
          <w:szCs w:val="24"/>
        </w:rPr>
      </w:pPr>
      <w:r w:rsidRPr="00B17CD1">
        <w:rPr>
          <w:rFonts w:eastAsia="Calibri" w:cstheme="minorHAnsi"/>
          <w:b/>
          <w:sz w:val="24"/>
          <w:szCs w:val="24"/>
        </w:rPr>
        <w:t xml:space="preserve">SUBMITTED BY: </w:t>
      </w:r>
    </w:p>
    <w:p w14:paraId="668F8A73" w14:textId="77777777" w:rsidR="00B17CD1" w:rsidRPr="0024279C" w:rsidRDefault="00B17CD1" w:rsidP="00B17CD1">
      <w:pPr>
        <w:spacing w:after="0" w:line="240" w:lineRule="auto"/>
        <w:ind w:left="360"/>
        <w:rPr>
          <w:rFonts w:eastAsia="Calibri" w:cstheme="minorHAnsi"/>
          <w:bCs/>
          <w:sz w:val="24"/>
          <w:szCs w:val="24"/>
        </w:rPr>
      </w:pPr>
      <w:r w:rsidRPr="0024279C">
        <w:rPr>
          <w:rFonts w:eastAsia="Calibri" w:cstheme="minorHAnsi"/>
          <w:bCs/>
          <w:sz w:val="24"/>
          <w:szCs w:val="24"/>
        </w:rPr>
        <w:t xml:space="preserve">Sarah King, Blaenau Gwent CBC (Chair of </w:t>
      </w:r>
      <w:r>
        <w:rPr>
          <w:rFonts w:eastAsia="Calibri" w:cstheme="minorHAnsi"/>
          <w:bCs/>
          <w:sz w:val="24"/>
          <w:szCs w:val="24"/>
        </w:rPr>
        <w:t xml:space="preserve">the </w:t>
      </w:r>
      <w:r w:rsidRPr="0024279C">
        <w:rPr>
          <w:rFonts w:eastAsia="Calibri" w:cstheme="minorHAnsi"/>
          <w:bCs/>
          <w:sz w:val="24"/>
          <w:szCs w:val="24"/>
        </w:rPr>
        <w:t>Gwent Strategic Well-being Action Group)</w:t>
      </w:r>
    </w:p>
    <w:p w14:paraId="04C37E20" w14:textId="77777777" w:rsidR="006B3C5F" w:rsidRDefault="006B3C5F" w:rsidP="00867875">
      <w:pPr>
        <w:spacing w:after="0" w:line="240" w:lineRule="auto"/>
        <w:rPr>
          <w:rFonts w:eastAsia="Calibri" w:cstheme="minorHAnsi"/>
          <w:b/>
          <w:sz w:val="24"/>
          <w:szCs w:val="24"/>
        </w:rPr>
      </w:pPr>
    </w:p>
    <w:p w14:paraId="19CB7362" w14:textId="45B325F2" w:rsidR="00867875" w:rsidRPr="0084129A" w:rsidRDefault="00867875" w:rsidP="00867875">
      <w:pPr>
        <w:spacing w:after="0" w:line="240" w:lineRule="auto"/>
        <w:rPr>
          <w:rFonts w:eastAsia="Calibri" w:cstheme="minorHAnsi"/>
          <w:b/>
          <w:sz w:val="24"/>
          <w:szCs w:val="24"/>
        </w:rPr>
      </w:pPr>
      <w:r w:rsidRPr="0084129A">
        <w:rPr>
          <w:rFonts w:eastAsia="Calibri" w:cstheme="minorHAnsi"/>
          <w:b/>
          <w:sz w:val="24"/>
          <w:szCs w:val="24"/>
        </w:rPr>
        <w:tab/>
      </w:r>
    </w:p>
    <w:p w14:paraId="48F3F4EF" w14:textId="77777777" w:rsidR="00867875" w:rsidRDefault="00867875" w:rsidP="00867875">
      <w:pPr>
        <w:spacing w:after="0" w:line="240" w:lineRule="auto"/>
        <w:ind w:left="720"/>
        <w:rPr>
          <w:rFonts w:cstheme="minorHAnsi"/>
          <w:sz w:val="24"/>
          <w:szCs w:val="24"/>
        </w:rPr>
      </w:pPr>
    </w:p>
    <w:p w14:paraId="00119562" w14:textId="7D16130C" w:rsidR="00F477BE" w:rsidRDefault="00F477BE">
      <w:pPr>
        <w:rPr>
          <w:rFonts w:cstheme="minorHAnsi"/>
          <w:sz w:val="24"/>
          <w:szCs w:val="24"/>
        </w:rPr>
      </w:pPr>
      <w:r>
        <w:rPr>
          <w:rFonts w:cstheme="minorHAnsi"/>
          <w:sz w:val="24"/>
          <w:szCs w:val="24"/>
        </w:rPr>
        <w:br w:type="page"/>
      </w:r>
    </w:p>
    <w:bookmarkEnd w:id="0"/>
    <w:p w14:paraId="67ABF59B" w14:textId="6C221724" w:rsidR="00BD352F" w:rsidRDefault="00BD352F" w:rsidP="00952023">
      <w:pPr>
        <w:spacing w:after="0" w:line="240" w:lineRule="auto"/>
        <w:ind w:left="720"/>
        <w:rPr>
          <w:rFonts w:cstheme="minorHAnsi"/>
          <w:b/>
          <w:bCs/>
          <w:sz w:val="24"/>
          <w:szCs w:val="24"/>
        </w:rPr>
      </w:pPr>
      <w:r w:rsidRPr="00607DCA">
        <w:rPr>
          <w:rFonts w:cstheme="minorHAnsi"/>
          <w:b/>
          <w:bCs/>
          <w:sz w:val="24"/>
          <w:szCs w:val="24"/>
        </w:rPr>
        <w:lastRenderedPageBreak/>
        <w:t xml:space="preserve">Appendix 1 – </w:t>
      </w:r>
      <w:r w:rsidR="00E83CD8">
        <w:rPr>
          <w:rFonts w:cstheme="minorHAnsi"/>
          <w:b/>
          <w:bCs/>
          <w:sz w:val="24"/>
          <w:szCs w:val="24"/>
        </w:rPr>
        <w:t>A summary of the p</w:t>
      </w:r>
      <w:r w:rsidRPr="00607DCA">
        <w:rPr>
          <w:rFonts w:cstheme="minorHAnsi"/>
          <w:b/>
          <w:bCs/>
          <w:sz w:val="24"/>
          <w:szCs w:val="24"/>
        </w:rPr>
        <w:t>rocess &amp; timeline</w:t>
      </w:r>
      <w:r w:rsidR="00357DA9">
        <w:rPr>
          <w:rFonts w:cstheme="minorHAnsi"/>
          <w:b/>
          <w:bCs/>
          <w:sz w:val="24"/>
          <w:szCs w:val="24"/>
        </w:rPr>
        <w:t xml:space="preserve"> to develop the proposed outcomes for each Area of Focus</w:t>
      </w:r>
    </w:p>
    <w:p w14:paraId="6937DCAF" w14:textId="77777777" w:rsidR="00444D97" w:rsidRDefault="00444D97" w:rsidP="00952023">
      <w:pPr>
        <w:spacing w:after="0" w:line="240" w:lineRule="auto"/>
        <w:ind w:left="720"/>
        <w:rPr>
          <w:rFonts w:cstheme="minorHAnsi"/>
          <w:b/>
          <w:bCs/>
          <w:sz w:val="24"/>
          <w:szCs w:val="24"/>
        </w:rPr>
      </w:pPr>
    </w:p>
    <w:p w14:paraId="5361E7F5" w14:textId="6C0DB2CD" w:rsidR="00444D97" w:rsidRDefault="00444D97" w:rsidP="00093F9B">
      <w:pPr>
        <w:spacing w:after="0" w:line="240" w:lineRule="auto"/>
        <w:ind w:left="120"/>
        <w:rPr>
          <w:rFonts w:eastAsia="Times New Roman" w:cstheme="minorHAnsi"/>
          <w:bCs/>
          <w:sz w:val="24"/>
          <w:szCs w:val="24"/>
        </w:rPr>
      </w:pPr>
      <w:r w:rsidRPr="00793F84">
        <w:rPr>
          <w:rFonts w:eastAsia="Times New Roman" w:cstheme="minorHAnsi"/>
          <w:bCs/>
          <w:sz w:val="24"/>
          <w:szCs w:val="24"/>
        </w:rPr>
        <w:t xml:space="preserve">The following partners led </w:t>
      </w:r>
      <w:r>
        <w:rPr>
          <w:rFonts w:eastAsia="Times New Roman" w:cstheme="minorHAnsi"/>
          <w:bCs/>
          <w:sz w:val="24"/>
          <w:szCs w:val="24"/>
        </w:rPr>
        <w:t xml:space="preserve">the steering groups, which consisted of a range of </w:t>
      </w:r>
      <w:r w:rsidR="00357DA9">
        <w:rPr>
          <w:rFonts w:eastAsia="Times New Roman" w:cstheme="minorHAnsi"/>
          <w:bCs/>
          <w:sz w:val="24"/>
          <w:szCs w:val="24"/>
        </w:rPr>
        <w:t>partner</w:t>
      </w:r>
      <w:r w:rsidR="00484736">
        <w:rPr>
          <w:rFonts w:eastAsia="Times New Roman" w:cstheme="minorHAnsi"/>
          <w:bCs/>
          <w:sz w:val="24"/>
          <w:szCs w:val="24"/>
        </w:rPr>
        <w:t xml:space="preserve"> </w:t>
      </w:r>
      <w:r>
        <w:rPr>
          <w:rFonts w:eastAsia="Times New Roman" w:cstheme="minorHAnsi"/>
          <w:bCs/>
          <w:sz w:val="24"/>
          <w:szCs w:val="24"/>
        </w:rPr>
        <w:t xml:space="preserve">representatives, for </w:t>
      </w:r>
      <w:r w:rsidRPr="00793F84">
        <w:rPr>
          <w:rFonts w:eastAsia="Times New Roman" w:cstheme="minorHAnsi"/>
          <w:bCs/>
          <w:sz w:val="24"/>
          <w:szCs w:val="24"/>
        </w:rPr>
        <w:t xml:space="preserve">each of the </w:t>
      </w:r>
      <w:r>
        <w:rPr>
          <w:rFonts w:eastAsia="Times New Roman" w:cstheme="minorHAnsi"/>
          <w:bCs/>
          <w:sz w:val="24"/>
          <w:szCs w:val="24"/>
        </w:rPr>
        <w:t>A</w:t>
      </w:r>
      <w:r w:rsidRPr="00793F84">
        <w:rPr>
          <w:rFonts w:eastAsia="Times New Roman" w:cstheme="minorHAnsi"/>
          <w:bCs/>
          <w:sz w:val="24"/>
          <w:szCs w:val="24"/>
        </w:rPr>
        <w:t xml:space="preserve">reas of </w:t>
      </w:r>
      <w:r>
        <w:rPr>
          <w:rFonts w:eastAsia="Times New Roman" w:cstheme="minorHAnsi"/>
          <w:bCs/>
          <w:sz w:val="24"/>
          <w:szCs w:val="24"/>
        </w:rPr>
        <w:t>F</w:t>
      </w:r>
      <w:r w:rsidRPr="00793F84">
        <w:rPr>
          <w:rFonts w:eastAsia="Times New Roman" w:cstheme="minorHAnsi"/>
          <w:bCs/>
          <w:sz w:val="24"/>
          <w:szCs w:val="24"/>
        </w:rPr>
        <w:t>ocus</w:t>
      </w:r>
      <w:r w:rsidR="00D16012">
        <w:rPr>
          <w:rFonts w:eastAsia="Times New Roman" w:cstheme="minorHAnsi"/>
          <w:bCs/>
          <w:sz w:val="24"/>
          <w:szCs w:val="24"/>
        </w:rPr>
        <w:t>:</w:t>
      </w:r>
      <w:r w:rsidR="00093F9B">
        <w:rPr>
          <w:rFonts w:eastAsia="Times New Roman" w:cstheme="minorHAnsi"/>
          <w:bCs/>
          <w:sz w:val="24"/>
          <w:szCs w:val="24"/>
        </w:rPr>
        <w:t xml:space="preserve"> </w:t>
      </w:r>
    </w:p>
    <w:p w14:paraId="6E0C8522" w14:textId="77777777" w:rsidR="00444D97" w:rsidRDefault="00444D97" w:rsidP="00444D97">
      <w:pPr>
        <w:spacing w:after="0" w:line="240" w:lineRule="auto"/>
        <w:ind w:left="720" w:hanging="720"/>
        <w:rPr>
          <w:rFonts w:eastAsia="Times New Roman" w:cstheme="minorHAnsi"/>
          <w:bCs/>
          <w:sz w:val="24"/>
          <w:szCs w:val="24"/>
        </w:rPr>
      </w:pPr>
    </w:p>
    <w:tbl>
      <w:tblPr>
        <w:tblStyle w:val="TableGrid"/>
        <w:tblW w:w="0" w:type="auto"/>
        <w:tblInd w:w="421" w:type="dxa"/>
        <w:tblLook w:val="04A0" w:firstRow="1" w:lastRow="0" w:firstColumn="1" w:lastColumn="0" w:noHBand="0" w:noVBand="1"/>
      </w:tblPr>
      <w:tblGrid>
        <w:gridCol w:w="5953"/>
        <w:gridCol w:w="3820"/>
      </w:tblGrid>
      <w:tr w:rsidR="00444D97" w14:paraId="0930FFC8" w14:textId="77777777" w:rsidTr="00D16012">
        <w:tc>
          <w:tcPr>
            <w:tcW w:w="5953" w:type="dxa"/>
          </w:tcPr>
          <w:p w14:paraId="715C4F1A" w14:textId="77777777" w:rsidR="00444D97" w:rsidRPr="007C37DC" w:rsidRDefault="00444D97">
            <w:pPr>
              <w:rPr>
                <w:rFonts w:eastAsia="Times New Roman" w:cstheme="minorHAnsi"/>
                <w:b/>
                <w:sz w:val="24"/>
                <w:szCs w:val="24"/>
              </w:rPr>
            </w:pPr>
            <w:r w:rsidRPr="007C37DC">
              <w:rPr>
                <w:rFonts w:eastAsia="Times New Roman" w:cstheme="minorHAnsi"/>
                <w:b/>
                <w:sz w:val="24"/>
                <w:szCs w:val="24"/>
              </w:rPr>
              <w:t>Area of Focus</w:t>
            </w:r>
            <w:r>
              <w:rPr>
                <w:rFonts w:eastAsia="Times New Roman" w:cstheme="minorHAnsi"/>
                <w:b/>
                <w:sz w:val="24"/>
                <w:szCs w:val="24"/>
              </w:rPr>
              <w:t xml:space="preserve"> – Steering Groups</w:t>
            </w:r>
          </w:p>
        </w:tc>
        <w:tc>
          <w:tcPr>
            <w:tcW w:w="3820" w:type="dxa"/>
          </w:tcPr>
          <w:p w14:paraId="7D538C0E" w14:textId="39FA3DBA" w:rsidR="00444D97" w:rsidRPr="007C37DC" w:rsidRDefault="00444D97">
            <w:pPr>
              <w:rPr>
                <w:rFonts w:eastAsia="Times New Roman" w:cstheme="minorHAnsi"/>
                <w:b/>
                <w:sz w:val="24"/>
                <w:szCs w:val="24"/>
              </w:rPr>
            </w:pPr>
            <w:r>
              <w:rPr>
                <w:rFonts w:eastAsia="Times New Roman" w:cstheme="minorHAnsi"/>
                <w:b/>
                <w:sz w:val="24"/>
                <w:szCs w:val="24"/>
              </w:rPr>
              <w:t xml:space="preserve">Steering Group Lead Organisation </w:t>
            </w:r>
          </w:p>
        </w:tc>
      </w:tr>
      <w:tr w:rsidR="00444D97" w14:paraId="23C41C53" w14:textId="77777777" w:rsidTr="00D16012">
        <w:tc>
          <w:tcPr>
            <w:tcW w:w="5953" w:type="dxa"/>
          </w:tcPr>
          <w:p w14:paraId="37D15786" w14:textId="77777777" w:rsidR="00444D97" w:rsidRPr="00444D97" w:rsidRDefault="00444D97" w:rsidP="00444D97">
            <w:pPr>
              <w:rPr>
                <w:rFonts w:eastAsia="Times New Roman" w:cstheme="minorHAnsi"/>
                <w:bCs/>
                <w:sz w:val="24"/>
                <w:szCs w:val="24"/>
              </w:rPr>
            </w:pPr>
            <w:r w:rsidRPr="00444D97">
              <w:rPr>
                <w:rFonts w:eastAsia="Times New Roman" w:cstheme="minorHAnsi"/>
                <w:bCs/>
                <w:sz w:val="24"/>
                <w:szCs w:val="24"/>
              </w:rPr>
              <w:t>That every child has the best start in life</w:t>
            </w:r>
          </w:p>
        </w:tc>
        <w:tc>
          <w:tcPr>
            <w:tcW w:w="3820" w:type="dxa"/>
          </w:tcPr>
          <w:p w14:paraId="75178E89" w14:textId="77777777" w:rsidR="00444D97" w:rsidRDefault="00444D97">
            <w:pPr>
              <w:rPr>
                <w:rFonts w:eastAsia="Times New Roman" w:cstheme="minorHAnsi"/>
                <w:bCs/>
                <w:sz w:val="24"/>
                <w:szCs w:val="24"/>
              </w:rPr>
            </w:pPr>
            <w:r>
              <w:rPr>
                <w:rFonts w:eastAsia="Times New Roman" w:cstheme="minorHAnsi"/>
                <w:bCs/>
                <w:sz w:val="24"/>
                <w:szCs w:val="24"/>
              </w:rPr>
              <w:t>Public Health</w:t>
            </w:r>
          </w:p>
        </w:tc>
      </w:tr>
      <w:tr w:rsidR="00444D97" w14:paraId="465EDEE5" w14:textId="77777777" w:rsidTr="00D16012">
        <w:tc>
          <w:tcPr>
            <w:tcW w:w="5953" w:type="dxa"/>
          </w:tcPr>
          <w:p w14:paraId="357F6E0D" w14:textId="77777777" w:rsidR="00444D97" w:rsidRPr="00444D97" w:rsidRDefault="00444D97" w:rsidP="00444D97">
            <w:pPr>
              <w:rPr>
                <w:rFonts w:eastAsia="Times New Roman" w:cstheme="minorHAnsi"/>
                <w:bCs/>
                <w:sz w:val="24"/>
                <w:szCs w:val="24"/>
              </w:rPr>
            </w:pPr>
            <w:r w:rsidRPr="00444D97">
              <w:rPr>
                <w:rFonts w:eastAsia="Times New Roman" w:cstheme="minorHAnsi"/>
                <w:bCs/>
                <w:sz w:val="24"/>
                <w:szCs w:val="24"/>
              </w:rPr>
              <w:t>That everyone lives in a place they feel safe</w:t>
            </w:r>
          </w:p>
        </w:tc>
        <w:tc>
          <w:tcPr>
            <w:tcW w:w="3820" w:type="dxa"/>
          </w:tcPr>
          <w:p w14:paraId="74ADB0A7" w14:textId="09435EA5" w:rsidR="00444D97" w:rsidRDefault="00444D97">
            <w:pPr>
              <w:rPr>
                <w:rFonts w:eastAsia="Times New Roman" w:cstheme="minorHAnsi"/>
                <w:bCs/>
                <w:sz w:val="24"/>
                <w:szCs w:val="24"/>
              </w:rPr>
            </w:pPr>
            <w:r>
              <w:rPr>
                <w:rFonts w:eastAsia="Times New Roman" w:cstheme="minorHAnsi"/>
                <w:bCs/>
                <w:sz w:val="24"/>
                <w:szCs w:val="24"/>
              </w:rPr>
              <w:t>Gwent police</w:t>
            </w:r>
            <w:r w:rsidR="00B67EFA">
              <w:rPr>
                <w:rFonts w:eastAsia="Times New Roman" w:cstheme="minorHAnsi"/>
                <w:bCs/>
                <w:sz w:val="24"/>
                <w:szCs w:val="24"/>
              </w:rPr>
              <w:t xml:space="preserve"> (supported by GSWAG lead officers)</w:t>
            </w:r>
          </w:p>
        </w:tc>
      </w:tr>
      <w:tr w:rsidR="00444D97" w14:paraId="23956EF7" w14:textId="77777777" w:rsidTr="00D16012">
        <w:tc>
          <w:tcPr>
            <w:tcW w:w="5953" w:type="dxa"/>
          </w:tcPr>
          <w:p w14:paraId="4099C425" w14:textId="18946BC6" w:rsidR="00444D97" w:rsidRPr="00444D97" w:rsidRDefault="00444D97" w:rsidP="00444D97">
            <w:pPr>
              <w:rPr>
                <w:rFonts w:eastAsia="Times New Roman" w:cstheme="minorHAnsi"/>
                <w:bCs/>
                <w:sz w:val="24"/>
                <w:szCs w:val="24"/>
              </w:rPr>
            </w:pPr>
            <w:r w:rsidRPr="00444D97">
              <w:rPr>
                <w:rFonts w:eastAsia="Times New Roman" w:cstheme="minorHAnsi"/>
                <w:bCs/>
                <w:sz w:val="24"/>
                <w:szCs w:val="24"/>
              </w:rPr>
              <w:t xml:space="preserve">That everyone has the same </w:t>
            </w:r>
            <w:r w:rsidR="00C25424">
              <w:rPr>
                <w:rFonts w:eastAsia="Times New Roman" w:cstheme="minorHAnsi"/>
                <w:bCs/>
                <w:sz w:val="24"/>
                <w:szCs w:val="24"/>
              </w:rPr>
              <w:t>e</w:t>
            </w:r>
            <w:r w:rsidRPr="00444D97">
              <w:rPr>
                <w:rFonts w:eastAsia="Times New Roman" w:cstheme="minorHAnsi"/>
                <w:bCs/>
                <w:sz w:val="24"/>
                <w:szCs w:val="24"/>
              </w:rPr>
              <w:t>conomic chances</w:t>
            </w:r>
          </w:p>
        </w:tc>
        <w:tc>
          <w:tcPr>
            <w:tcW w:w="3820" w:type="dxa"/>
          </w:tcPr>
          <w:p w14:paraId="660687D2" w14:textId="77777777" w:rsidR="00444D97" w:rsidRDefault="00444D97">
            <w:pPr>
              <w:rPr>
                <w:rFonts w:eastAsia="Times New Roman" w:cstheme="minorHAnsi"/>
                <w:bCs/>
                <w:sz w:val="24"/>
                <w:szCs w:val="24"/>
              </w:rPr>
            </w:pPr>
            <w:r>
              <w:rPr>
                <w:rFonts w:eastAsia="Times New Roman" w:cstheme="minorHAnsi"/>
                <w:bCs/>
                <w:sz w:val="24"/>
                <w:szCs w:val="24"/>
              </w:rPr>
              <w:t xml:space="preserve">Blaenau Gwent County Borough Council </w:t>
            </w:r>
          </w:p>
        </w:tc>
      </w:tr>
      <w:tr w:rsidR="00444D97" w14:paraId="17FF6581" w14:textId="77777777" w:rsidTr="00D16012">
        <w:tc>
          <w:tcPr>
            <w:tcW w:w="5953" w:type="dxa"/>
          </w:tcPr>
          <w:p w14:paraId="36CEADE2" w14:textId="77777777" w:rsidR="00444D97" w:rsidRPr="00444D97" w:rsidRDefault="00444D97" w:rsidP="00444D97">
            <w:pPr>
              <w:rPr>
                <w:rFonts w:eastAsia="Times New Roman" w:cstheme="minorHAnsi"/>
                <w:bCs/>
                <w:sz w:val="24"/>
                <w:szCs w:val="24"/>
              </w:rPr>
            </w:pPr>
            <w:r w:rsidRPr="00444D97">
              <w:rPr>
                <w:rFonts w:eastAsia="Times New Roman" w:cstheme="minorHAnsi"/>
                <w:bCs/>
                <w:sz w:val="24"/>
                <w:szCs w:val="24"/>
              </w:rPr>
              <w:t>That everyone lives in a climate-ready community where their environment is valued and protected</w:t>
            </w:r>
          </w:p>
        </w:tc>
        <w:tc>
          <w:tcPr>
            <w:tcW w:w="3820" w:type="dxa"/>
          </w:tcPr>
          <w:p w14:paraId="31F17AC3" w14:textId="77777777" w:rsidR="00444D97" w:rsidRDefault="00444D97">
            <w:pPr>
              <w:rPr>
                <w:rFonts w:eastAsia="Times New Roman" w:cstheme="minorHAnsi"/>
                <w:bCs/>
                <w:sz w:val="24"/>
                <w:szCs w:val="24"/>
              </w:rPr>
            </w:pPr>
            <w:r>
              <w:rPr>
                <w:rFonts w:eastAsia="Times New Roman" w:cstheme="minorHAnsi"/>
                <w:bCs/>
                <w:sz w:val="24"/>
                <w:szCs w:val="24"/>
              </w:rPr>
              <w:t>Natural Resources Wales</w:t>
            </w:r>
          </w:p>
        </w:tc>
      </w:tr>
      <w:tr w:rsidR="00444D97" w14:paraId="7F00C3E2" w14:textId="77777777" w:rsidTr="00D16012">
        <w:tc>
          <w:tcPr>
            <w:tcW w:w="5953" w:type="dxa"/>
          </w:tcPr>
          <w:p w14:paraId="3BE5D776" w14:textId="77777777" w:rsidR="00444D97" w:rsidRDefault="00444D97">
            <w:pPr>
              <w:rPr>
                <w:rFonts w:eastAsia="Times New Roman" w:cstheme="minorHAnsi"/>
                <w:bCs/>
                <w:sz w:val="24"/>
                <w:szCs w:val="24"/>
              </w:rPr>
            </w:pPr>
            <w:r>
              <w:rPr>
                <w:rFonts w:eastAsia="Times New Roman" w:cstheme="minorHAnsi"/>
                <w:bCs/>
                <w:sz w:val="24"/>
                <w:szCs w:val="24"/>
              </w:rPr>
              <w:t>Additional ask from PSB:</w:t>
            </w:r>
          </w:p>
          <w:p w14:paraId="7B879C49" w14:textId="77777777" w:rsidR="00444D97" w:rsidRPr="004463F8" w:rsidRDefault="00444D97">
            <w:pPr>
              <w:rPr>
                <w:rFonts w:eastAsia="Times New Roman" w:cstheme="minorHAnsi"/>
                <w:bCs/>
                <w:sz w:val="24"/>
                <w:szCs w:val="24"/>
              </w:rPr>
            </w:pPr>
            <w:r>
              <w:rPr>
                <w:rFonts w:eastAsia="Times New Roman" w:cstheme="minorHAnsi"/>
                <w:bCs/>
                <w:sz w:val="24"/>
                <w:szCs w:val="24"/>
              </w:rPr>
              <w:t>to review t</w:t>
            </w:r>
            <w:r w:rsidRPr="004463F8">
              <w:rPr>
                <w:rFonts w:eastAsia="Times New Roman" w:cstheme="minorHAnsi"/>
                <w:bCs/>
                <w:sz w:val="24"/>
                <w:szCs w:val="24"/>
              </w:rPr>
              <w:t>he governance arrangements required for the PSB to effectively work together to deliver the plan</w:t>
            </w:r>
          </w:p>
        </w:tc>
        <w:tc>
          <w:tcPr>
            <w:tcW w:w="3820" w:type="dxa"/>
          </w:tcPr>
          <w:p w14:paraId="1C83953B" w14:textId="77777777" w:rsidR="00444D97" w:rsidRDefault="00444D97">
            <w:pPr>
              <w:rPr>
                <w:rFonts w:eastAsia="Times New Roman" w:cstheme="minorHAnsi"/>
                <w:bCs/>
                <w:sz w:val="24"/>
                <w:szCs w:val="24"/>
              </w:rPr>
            </w:pPr>
            <w:r>
              <w:rPr>
                <w:rFonts w:eastAsia="Times New Roman" w:cstheme="minorHAnsi"/>
                <w:bCs/>
                <w:sz w:val="24"/>
                <w:szCs w:val="24"/>
              </w:rPr>
              <w:t>GSWAG Governance Group</w:t>
            </w:r>
          </w:p>
        </w:tc>
      </w:tr>
    </w:tbl>
    <w:p w14:paraId="4528C301" w14:textId="77777777" w:rsidR="00444D97" w:rsidRDefault="00444D97" w:rsidP="00952023">
      <w:pPr>
        <w:spacing w:after="0" w:line="240" w:lineRule="auto"/>
        <w:ind w:left="720"/>
        <w:rPr>
          <w:rFonts w:cstheme="minorHAnsi"/>
          <w:b/>
          <w:bCs/>
          <w:sz w:val="24"/>
          <w:szCs w:val="24"/>
        </w:rPr>
      </w:pPr>
    </w:p>
    <w:p w14:paraId="706233B1" w14:textId="32402FEC" w:rsidR="00C37D74" w:rsidRPr="00D16012" w:rsidRDefault="00C37D74" w:rsidP="00093F9B">
      <w:pPr>
        <w:spacing w:after="0" w:line="240" w:lineRule="auto"/>
        <w:rPr>
          <w:rFonts w:cstheme="minorHAnsi"/>
          <w:sz w:val="24"/>
          <w:szCs w:val="24"/>
        </w:rPr>
      </w:pPr>
      <w:r w:rsidRPr="00D16012">
        <w:rPr>
          <w:rFonts w:cstheme="minorHAnsi"/>
          <w:sz w:val="24"/>
          <w:szCs w:val="24"/>
        </w:rPr>
        <w:t xml:space="preserve">The following process has </w:t>
      </w:r>
      <w:r w:rsidR="00D16012" w:rsidRPr="00D16012">
        <w:rPr>
          <w:rFonts w:cstheme="minorHAnsi"/>
          <w:sz w:val="24"/>
          <w:szCs w:val="24"/>
        </w:rPr>
        <w:t xml:space="preserve">been </w:t>
      </w:r>
      <w:r w:rsidR="00FA6E6C">
        <w:rPr>
          <w:rFonts w:cstheme="minorHAnsi"/>
          <w:sz w:val="24"/>
          <w:szCs w:val="24"/>
        </w:rPr>
        <w:t xml:space="preserve">used </w:t>
      </w:r>
      <w:r w:rsidR="00D16012" w:rsidRPr="00D16012">
        <w:rPr>
          <w:rFonts w:cstheme="minorHAnsi"/>
          <w:sz w:val="24"/>
          <w:szCs w:val="24"/>
        </w:rPr>
        <w:t xml:space="preserve">to develop the proposed </w:t>
      </w:r>
      <w:r w:rsidR="00736318">
        <w:rPr>
          <w:rFonts w:cstheme="minorHAnsi"/>
          <w:sz w:val="24"/>
          <w:szCs w:val="24"/>
        </w:rPr>
        <w:t>outcomes</w:t>
      </w:r>
      <w:r w:rsidR="00D16012">
        <w:rPr>
          <w:rFonts w:cstheme="minorHAnsi"/>
          <w:sz w:val="24"/>
          <w:szCs w:val="24"/>
        </w:rPr>
        <w:t>:</w:t>
      </w:r>
    </w:p>
    <w:p w14:paraId="3FFD0748" w14:textId="77777777" w:rsidR="006D3F72" w:rsidRDefault="006D3F72" w:rsidP="00952023">
      <w:pPr>
        <w:spacing w:after="0" w:line="240" w:lineRule="auto"/>
        <w:ind w:left="720"/>
        <w:rPr>
          <w:rFonts w:cstheme="minorHAnsi"/>
          <w:sz w:val="24"/>
          <w:szCs w:val="24"/>
        </w:rPr>
      </w:pPr>
    </w:p>
    <w:tbl>
      <w:tblPr>
        <w:tblStyle w:val="TableGrid"/>
        <w:tblW w:w="0" w:type="auto"/>
        <w:tblInd w:w="421" w:type="dxa"/>
        <w:tblLook w:val="04A0" w:firstRow="1" w:lastRow="0" w:firstColumn="1" w:lastColumn="0" w:noHBand="0" w:noVBand="1"/>
      </w:tblPr>
      <w:tblGrid>
        <w:gridCol w:w="5953"/>
        <w:gridCol w:w="1602"/>
        <w:gridCol w:w="2218"/>
      </w:tblGrid>
      <w:tr w:rsidR="00017A6E" w14:paraId="2046D1B7" w14:textId="77777777" w:rsidTr="0024608B">
        <w:tc>
          <w:tcPr>
            <w:tcW w:w="5953" w:type="dxa"/>
          </w:tcPr>
          <w:p w14:paraId="6D1D0003" w14:textId="65F9CCBE" w:rsidR="006832FC" w:rsidRPr="006832FC" w:rsidRDefault="006832FC" w:rsidP="00952023">
            <w:pPr>
              <w:rPr>
                <w:rFonts w:cstheme="minorHAnsi"/>
                <w:b/>
                <w:bCs/>
                <w:sz w:val="24"/>
                <w:szCs w:val="24"/>
              </w:rPr>
            </w:pPr>
            <w:r w:rsidRPr="006832FC">
              <w:rPr>
                <w:rFonts w:cstheme="minorHAnsi"/>
                <w:b/>
                <w:bCs/>
                <w:sz w:val="24"/>
                <w:szCs w:val="24"/>
              </w:rPr>
              <w:t>What</w:t>
            </w:r>
          </w:p>
        </w:tc>
        <w:tc>
          <w:tcPr>
            <w:tcW w:w="1602" w:type="dxa"/>
          </w:tcPr>
          <w:p w14:paraId="0C965A92" w14:textId="4BEE29CD" w:rsidR="006832FC" w:rsidRPr="006832FC" w:rsidRDefault="006832FC" w:rsidP="00952023">
            <w:pPr>
              <w:rPr>
                <w:rFonts w:cstheme="minorHAnsi"/>
                <w:b/>
                <w:bCs/>
                <w:sz w:val="24"/>
                <w:szCs w:val="24"/>
              </w:rPr>
            </w:pPr>
            <w:r w:rsidRPr="006832FC">
              <w:rPr>
                <w:rFonts w:cstheme="minorHAnsi"/>
                <w:b/>
                <w:bCs/>
                <w:sz w:val="24"/>
                <w:szCs w:val="24"/>
              </w:rPr>
              <w:t>When</w:t>
            </w:r>
          </w:p>
        </w:tc>
        <w:tc>
          <w:tcPr>
            <w:tcW w:w="2218" w:type="dxa"/>
          </w:tcPr>
          <w:p w14:paraId="7F1D40AB" w14:textId="2A006C60" w:rsidR="006832FC" w:rsidRPr="006832FC" w:rsidRDefault="006832FC" w:rsidP="00952023">
            <w:pPr>
              <w:rPr>
                <w:rFonts w:cstheme="minorHAnsi"/>
                <w:b/>
                <w:bCs/>
                <w:sz w:val="24"/>
                <w:szCs w:val="24"/>
              </w:rPr>
            </w:pPr>
            <w:r w:rsidRPr="006832FC">
              <w:rPr>
                <w:rFonts w:cstheme="minorHAnsi"/>
                <w:b/>
                <w:bCs/>
                <w:sz w:val="24"/>
                <w:szCs w:val="24"/>
              </w:rPr>
              <w:t>Who</w:t>
            </w:r>
          </w:p>
        </w:tc>
      </w:tr>
      <w:tr w:rsidR="00017A6E" w14:paraId="6DCECA94" w14:textId="77777777" w:rsidTr="0024608B">
        <w:tc>
          <w:tcPr>
            <w:tcW w:w="5953" w:type="dxa"/>
          </w:tcPr>
          <w:p w14:paraId="57E81B0B" w14:textId="210862E7" w:rsidR="006832FC" w:rsidRDefault="000211BF" w:rsidP="00952023">
            <w:pPr>
              <w:rPr>
                <w:rFonts w:cstheme="minorHAnsi"/>
                <w:sz w:val="24"/>
                <w:szCs w:val="24"/>
              </w:rPr>
            </w:pPr>
            <w:r>
              <w:rPr>
                <w:rFonts w:cstheme="minorHAnsi"/>
                <w:sz w:val="24"/>
                <w:szCs w:val="24"/>
              </w:rPr>
              <w:t xml:space="preserve">Establish GSWAG </w:t>
            </w:r>
            <w:r w:rsidR="004D2981">
              <w:rPr>
                <w:rFonts w:cstheme="minorHAnsi"/>
                <w:sz w:val="24"/>
                <w:szCs w:val="24"/>
              </w:rPr>
              <w:t>Governance</w:t>
            </w:r>
            <w:r>
              <w:rPr>
                <w:rFonts w:cstheme="minorHAnsi"/>
                <w:sz w:val="24"/>
                <w:szCs w:val="24"/>
              </w:rPr>
              <w:t xml:space="preserve"> Group</w:t>
            </w:r>
            <w:r w:rsidR="00607DCA">
              <w:rPr>
                <w:rFonts w:cstheme="minorHAnsi"/>
                <w:sz w:val="24"/>
                <w:szCs w:val="24"/>
              </w:rPr>
              <w:t xml:space="preserve"> to provide oversight and coordination to development of the delivery plan</w:t>
            </w:r>
            <w:r w:rsidR="00E90CC8">
              <w:rPr>
                <w:rFonts w:cstheme="minorHAnsi"/>
                <w:sz w:val="24"/>
                <w:szCs w:val="24"/>
              </w:rPr>
              <w:t xml:space="preserve"> and ensure integration of the four steering groups</w:t>
            </w:r>
          </w:p>
        </w:tc>
        <w:tc>
          <w:tcPr>
            <w:tcW w:w="1602" w:type="dxa"/>
          </w:tcPr>
          <w:p w14:paraId="7E624C5C" w14:textId="0A7B0DFD" w:rsidR="006832FC" w:rsidRDefault="00AB1918" w:rsidP="00952023">
            <w:pPr>
              <w:rPr>
                <w:rFonts w:cstheme="minorHAnsi"/>
                <w:sz w:val="24"/>
                <w:szCs w:val="24"/>
              </w:rPr>
            </w:pPr>
            <w:r>
              <w:rPr>
                <w:rFonts w:cstheme="minorHAnsi"/>
                <w:sz w:val="24"/>
                <w:szCs w:val="24"/>
              </w:rPr>
              <w:t xml:space="preserve">December 23 </w:t>
            </w:r>
          </w:p>
        </w:tc>
        <w:tc>
          <w:tcPr>
            <w:tcW w:w="2218" w:type="dxa"/>
          </w:tcPr>
          <w:p w14:paraId="1C185DAF" w14:textId="3899DF33" w:rsidR="006832FC" w:rsidRDefault="004D2981" w:rsidP="00952023">
            <w:pPr>
              <w:rPr>
                <w:rFonts w:cstheme="minorHAnsi"/>
                <w:sz w:val="24"/>
                <w:szCs w:val="24"/>
              </w:rPr>
            </w:pPr>
            <w:r>
              <w:rPr>
                <w:rFonts w:cstheme="minorHAnsi"/>
                <w:sz w:val="24"/>
                <w:szCs w:val="24"/>
              </w:rPr>
              <w:t>Nominated GSWAG officers</w:t>
            </w:r>
          </w:p>
        </w:tc>
      </w:tr>
      <w:tr w:rsidR="00017A6E" w14:paraId="57992F34" w14:textId="77777777" w:rsidTr="0024608B">
        <w:trPr>
          <w:trHeight w:val="433"/>
        </w:trPr>
        <w:tc>
          <w:tcPr>
            <w:tcW w:w="5953" w:type="dxa"/>
          </w:tcPr>
          <w:p w14:paraId="5AB5A767" w14:textId="67879A4F" w:rsidR="006832FC" w:rsidRDefault="0031483E" w:rsidP="00952023">
            <w:pPr>
              <w:rPr>
                <w:rFonts w:cstheme="minorHAnsi"/>
                <w:sz w:val="24"/>
                <w:szCs w:val="24"/>
              </w:rPr>
            </w:pPr>
            <w:r>
              <w:rPr>
                <w:rFonts w:cstheme="minorHAnsi"/>
                <w:sz w:val="24"/>
                <w:szCs w:val="24"/>
              </w:rPr>
              <w:t xml:space="preserve">Agree </w:t>
            </w:r>
            <w:r w:rsidR="00C04DE1">
              <w:rPr>
                <w:rFonts w:cstheme="minorHAnsi"/>
                <w:sz w:val="24"/>
                <w:szCs w:val="24"/>
              </w:rPr>
              <w:t>approach</w:t>
            </w:r>
            <w:r>
              <w:rPr>
                <w:rFonts w:cstheme="minorHAnsi"/>
                <w:sz w:val="24"/>
                <w:szCs w:val="24"/>
              </w:rPr>
              <w:t xml:space="preserve"> and lead</w:t>
            </w:r>
            <w:r w:rsidR="00C04DE1">
              <w:rPr>
                <w:rFonts w:cstheme="minorHAnsi"/>
                <w:sz w:val="24"/>
                <w:szCs w:val="24"/>
              </w:rPr>
              <w:t xml:space="preserve"> nominations</w:t>
            </w:r>
            <w:r>
              <w:rPr>
                <w:rFonts w:cstheme="minorHAnsi"/>
                <w:sz w:val="24"/>
                <w:szCs w:val="24"/>
              </w:rPr>
              <w:t xml:space="preserve"> at PSB</w:t>
            </w:r>
          </w:p>
        </w:tc>
        <w:tc>
          <w:tcPr>
            <w:tcW w:w="1602" w:type="dxa"/>
          </w:tcPr>
          <w:p w14:paraId="05E409D7" w14:textId="2E899604" w:rsidR="006832FC" w:rsidRDefault="00AB1918" w:rsidP="00952023">
            <w:pPr>
              <w:rPr>
                <w:rFonts w:cstheme="minorHAnsi"/>
                <w:sz w:val="24"/>
                <w:szCs w:val="24"/>
              </w:rPr>
            </w:pPr>
            <w:r w:rsidRPr="00AB1918">
              <w:rPr>
                <w:rFonts w:cstheme="minorHAnsi"/>
                <w:sz w:val="24"/>
                <w:szCs w:val="24"/>
              </w:rPr>
              <w:t>December 23</w:t>
            </w:r>
          </w:p>
        </w:tc>
        <w:tc>
          <w:tcPr>
            <w:tcW w:w="2218" w:type="dxa"/>
          </w:tcPr>
          <w:p w14:paraId="185A3468" w14:textId="0E197E2E" w:rsidR="006832FC" w:rsidRDefault="00AB1918" w:rsidP="00952023">
            <w:pPr>
              <w:rPr>
                <w:rFonts w:cstheme="minorHAnsi"/>
                <w:sz w:val="24"/>
                <w:szCs w:val="24"/>
              </w:rPr>
            </w:pPr>
            <w:r>
              <w:rPr>
                <w:rFonts w:cstheme="minorHAnsi"/>
                <w:sz w:val="24"/>
                <w:szCs w:val="24"/>
              </w:rPr>
              <w:t>PSB</w:t>
            </w:r>
          </w:p>
        </w:tc>
      </w:tr>
      <w:tr w:rsidR="000211BF" w14:paraId="3F43772F" w14:textId="77777777" w:rsidTr="0024608B">
        <w:trPr>
          <w:trHeight w:val="978"/>
        </w:trPr>
        <w:tc>
          <w:tcPr>
            <w:tcW w:w="5953" w:type="dxa"/>
          </w:tcPr>
          <w:p w14:paraId="62F2138E" w14:textId="7CD3B9DB" w:rsidR="000211BF" w:rsidRPr="006832FC" w:rsidRDefault="0031483E" w:rsidP="00C04DE1">
            <w:pPr>
              <w:rPr>
                <w:rFonts w:cstheme="minorHAnsi"/>
                <w:sz w:val="24"/>
                <w:szCs w:val="24"/>
              </w:rPr>
            </w:pPr>
            <w:r>
              <w:rPr>
                <w:rFonts w:cstheme="minorHAnsi"/>
                <w:sz w:val="24"/>
                <w:szCs w:val="24"/>
              </w:rPr>
              <w:t>C</w:t>
            </w:r>
            <w:r w:rsidRPr="0031483E">
              <w:rPr>
                <w:rFonts w:cstheme="minorHAnsi"/>
                <w:sz w:val="24"/>
                <w:szCs w:val="24"/>
              </w:rPr>
              <w:t xml:space="preserve">omplete mapping work on a regional/sub-regional/local basis against the </w:t>
            </w:r>
            <w:r w:rsidR="00050684">
              <w:rPr>
                <w:rFonts w:cstheme="minorHAnsi"/>
                <w:sz w:val="24"/>
                <w:szCs w:val="24"/>
              </w:rPr>
              <w:t xml:space="preserve">four </w:t>
            </w:r>
            <w:r w:rsidR="00067C5C">
              <w:rPr>
                <w:rFonts w:cstheme="minorHAnsi"/>
                <w:sz w:val="24"/>
                <w:szCs w:val="24"/>
              </w:rPr>
              <w:t>a</w:t>
            </w:r>
            <w:r w:rsidRPr="0031483E">
              <w:rPr>
                <w:rFonts w:cstheme="minorHAnsi"/>
                <w:sz w:val="24"/>
                <w:szCs w:val="24"/>
              </w:rPr>
              <w:t xml:space="preserve">reas of </w:t>
            </w:r>
            <w:r w:rsidR="00067C5C">
              <w:rPr>
                <w:rFonts w:cstheme="minorHAnsi"/>
                <w:sz w:val="24"/>
                <w:szCs w:val="24"/>
              </w:rPr>
              <w:t>f</w:t>
            </w:r>
            <w:r w:rsidRPr="0031483E">
              <w:rPr>
                <w:rFonts w:cstheme="minorHAnsi"/>
                <w:sz w:val="24"/>
                <w:szCs w:val="24"/>
              </w:rPr>
              <w:t xml:space="preserve">ocus </w:t>
            </w:r>
          </w:p>
        </w:tc>
        <w:tc>
          <w:tcPr>
            <w:tcW w:w="1602" w:type="dxa"/>
          </w:tcPr>
          <w:p w14:paraId="7BE5190E" w14:textId="42265FDC" w:rsidR="000211BF" w:rsidRDefault="003E37A0" w:rsidP="00952023">
            <w:pPr>
              <w:rPr>
                <w:rFonts w:cstheme="minorHAnsi"/>
                <w:sz w:val="24"/>
                <w:szCs w:val="24"/>
              </w:rPr>
            </w:pPr>
            <w:r>
              <w:rPr>
                <w:rFonts w:cstheme="minorHAnsi"/>
                <w:sz w:val="24"/>
                <w:szCs w:val="24"/>
              </w:rPr>
              <w:t xml:space="preserve">January/ February </w:t>
            </w:r>
            <w:r w:rsidR="00AB1918">
              <w:rPr>
                <w:rFonts w:cstheme="minorHAnsi"/>
                <w:sz w:val="24"/>
                <w:szCs w:val="24"/>
              </w:rPr>
              <w:t>24</w:t>
            </w:r>
          </w:p>
        </w:tc>
        <w:tc>
          <w:tcPr>
            <w:tcW w:w="2218" w:type="dxa"/>
          </w:tcPr>
          <w:p w14:paraId="1EFF3290" w14:textId="19D41292" w:rsidR="000211BF" w:rsidRDefault="00C04DE1" w:rsidP="00952023">
            <w:pPr>
              <w:rPr>
                <w:rFonts w:cstheme="minorHAnsi"/>
                <w:sz w:val="24"/>
                <w:szCs w:val="24"/>
              </w:rPr>
            </w:pPr>
            <w:r>
              <w:rPr>
                <w:rFonts w:cstheme="minorHAnsi"/>
                <w:sz w:val="24"/>
                <w:szCs w:val="24"/>
              </w:rPr>
              <w:t xml:space="preserve">Stakeholder </w:t>
            </w:r>
            <w:r w:rsidR="00AB1918">
              <w:rPr>
                <w:rFonts w:cstheme="minorHAnsi"/>
                <w:sz w:val="24"/>
                <w:szCs w:val="24"/>
              </w:rPr>
              <w:t>Steering group</w:t>
            </w:r>
          </w:p>
        </w:tc>
      </w:tr>
      <w:tr w:rsidR="0031483E" w14:paraId="462A3AF8" w14:textId="77777777" w:rsidTr="0024608B">
        <w:trPr>
          <w:trHeight w:val="1002"/>
        </w:trPr>
        <w:tc>
          <w:tcPr>
            <w:tcW w:w="5953" w:type="dxa"/>
          </w:tcPr>
          <w:p w14:paraId="26A5F322" w14:textId="112E178A" w:rsidR="0031483E" w:rsidRPr="0031483E" w:rsidRDefault="00F10310" w:rsidP="00952023">
            <w:pPr>
              <w:rPr>
                <w:rFonts w:cstheme="minorHAnsi"/>
                <w:sz w:val="24"/>
                <w:szCs w:val="24"/>
              </w:rPr>
            </w:pPr>
            <w:r>
              <w:rPr>
                <w:rFonts w:cstheme="minorHAnsi"/>
                <w:sz w:val="24"/>
                <w:szCs w:val="24"/>
              </w:rPr>
              <w:t xml:space="preserve">Hold </w:t>
            </w:r>
            <w:r w:rsidRPr="00F10310">
              <w:rPr>
                <w:rFonts w:cstheme="minorHAnsi"/>
                <w:sz w:val="24"/>
                <w:szCs w:val="24"/>
              </w:rPr>
              <w:t>partner/stakeholder</w:t>
            </w:r>
            <w:r w:rsidR="00607DCA">
              <w:rPr>
                <w:rFonts w:cstheme="minorHAnsi"/>
                <w:sz w:val="24"/>
                <w:szCs w:val="24"/>
              </w:rPr>
              <w:t xml:space="preserve"> workshops</w:t>
            </w:r>
            <w:r>
              <w:rPr>
                <w:rFonts w:cstheme="minorHAnsi"/>
                <w:sz w:val="24"/>
                <w:szCs w:val="24"/>
              </w:rPr>
              <w:t xml:space="preserve"> for each of the </w:t>
            </w:r>
            <w:r w:rsidR="00050684">
              <w:rPr>
                <w:rFonts w:cstheme="minorHAnsi"/>
                <w:sz w:val="24"/>
                <w:szCs w:val="24"/>
              </w:rPr>
              <w:t>four</w:t>
            </w:r>
            <w:r>
              <w:rPr>
                <w:rFonts w:cstheme="minorHAnsi"/>
                <w:sz w:val="24"/>
                <w:szCs w:val="24"/>
              </w:rPr>
              <w:t xml:space="preserve"> </w:t>
            </w:r>
            <w:r w:rsidR="00067C5C">
              <w:rPr>
                <w:rFonts w:cstheme="minorHAnsi"/>
                <w:sz w:val="24"/>
                <w:szCs w:val="24"/>
              </w:rPr>
              <w:t>a</w:t>
            </w:r>
            <w:r>
              <w:rPr>
                <w:rFonts w:cstheme="minorHAnsi"/>
                <w:sz w:val="24"/>
                <w:szCs w:val="24"/>
              </w:rPr>
              <w:t xml:space="preserve">reas of </w:t>
            </w:r>
            <w:r w:rsidR="00067C5C">
              <w:rPr>
                <w:rFonts w:cstheme="minorHAnsi"/>
                <w:sz w:val="24"/>
                <w:szCs w:val="24"/>
              </w:rPr>
              <w:t>f</w:t>
            </w:r>
            <w:r>
              <w:rPr>
                <w:rFonts w:cstheme="minorHAnsi"/>
                <w:sz w:val="24"/>
                <w:szCs w:val="24"/>
              </w:rPr>
              <w:t>ocus</w:t>
            </w:r>
            <w:r w:rsidR="00607DCA">
              <w:rPr>
                <w:rFonts w:cstheme="minorHAnsi"/>
                <w:sz w:val="24"/>
                <w:szCs w:val="24"/>
              </w:rPr>
              <w:t>. Including PSB &amp; LDG representatives.</w:t>
            </w:r>
            <w:r>
              <w:rPr>
                <w:rFonts w:cstheme="minorHAnsi"/>
                <w:sz w:val="24"/>
                <w:szCs w:val="24"/>
              </w:rPr>
              <w:t xml:space="preserve"> </w:t>
            </w:r>
          </w:p>
        </w:tc>
        <w:tc>
          <w:tcPr>
            <w:tcW w:w="1602" w:type="dxa"/>
          </w:tcPr>
          <w:p w14:paraId="476D3299" w14:textId="0397F0D6" w:rsidR="0031483E" w:rsidRDefault="00050684" w:rsidP="00952023">
            <w:pPr>
              <w:rPr>
                <w:rFonts w:cstheme="minorHAnsi"/>
                <w:sz w:val="24"/>
                <w:szCs w:val="24"/>
              </w:rPr>
            </w:pPr>
            <w:r>
              <w:rPr>
                <w:rFonts w:cstheme="minorHAnsi"/>
                <w:sz w:val="24"/>
                <w:szCs w:val="24"/>
              </w:rPr>
              <w:t>February</w:t>
            </w:r>
            <w:r w:rsidR="003E37A0">
              <w:rPr>
                <w:rFonts w:cstheme="minorHAnsi"/>
                <w:sz w:val="24"/>
                <w:szCs w:val="24"/>
              </w:rPr>
              <w:t>/ March</w:t>
            </w:r>
            <w:r w:rsidR="00017A6E">
              <w:rPr>
                <w:rFonts w:cstheme="minorHAnsi"/>
                <w:sz w:val="24"/>
                <w:szCs w:val="24"/>
              </w:rPr>
              <w:t xml:space="preserve"> 24</w:t>
            </w:r>
          </w:p>
        </w:tc>
        <w:tc>
          <w:tcPr>
            <w:tcW w:w="2218" w:type="dxa"/>
          </w:tcPr>
          <w:p w14:paraId="433AE9DA" w14:textId="57244B55" w:rsidR="0031483E" w:rsidRDefault="00C04DE1" w:rsidP="00952023">
            <w:pPr>
              <w:rPr>
                <w:rFonts w:cstheme="minorHAnsi"/>
                <w:sz w:val="24"/>
                <w:szCs w:val="24"/>
              </w:rPr>
            </w:pPr>
            <w:r w:rsidRPr="00C04DE1">
              <w:rPr>
                <w:rFonts w:cstheme="minorHAnsi"/>
                <w:sz w:val="24"/>
                <w:szCs w:val="24"/>
              </w:rPr>
              <w:t>Stakeholder Steering group</w:t>
            </w:r>
          </w:p>
        </w:tc>
      </w:tr>
      <w:tr w:rsidR="00F10310" w14:paraId="1DE7DF62" w14:textId="77777777" w:rsidTr="0025339A">
        <w:trPr>
          <w:trHeight w:val="1265"/>
        </w:trPr>
        <w:tc>
          <w:tcPr>
            <w:tcW w:w="5953" w:type="dxa"/>
          </w:tcPr>
          <w:p w14:paraId="10441325" w14:textId="5DBC4360" w:rsidR="007C37DC" w:rsidRDefault="00EB25D6" w:rsidP="007C37DC">
            <w:pPr>
              <w:rPr>
                <w:rFonts w:cstheme="minorHAnsi"/>
                <w:sz w:val="24"/>
                <w:szCs w:val="24"/>
              </w:rPr>
            </w:pPr>
            <w:r>
              <w:rPr>
                <w:rFonts w:cstheme="minorHAnsi"/>
                <w:sz w:val="24"/>
                <w:szCs w:val="24"/>
              </w:rPr>
              <w:t xml:space="preserve">Analyse the outcome of the mapping and partner/stakeholder </w:t>
            </w:r>
            <w:r w:rsidR="00607DCA">
              <w:rPr>
                <w:rFonts w:cstheme="minorHAnsi"/>
                <w:sz w:val="24"/>
                <w:szCs w:val="24"/>
              </w:rPr>
              <w:t>workshop</w:t>
            </w:r>
            <w:r>
              <w:rPr>
                <w:rFonts w:cstheme="minorHAnsi"/>
                <w:sz w:val="24"/>
                <w:szCs w:val="24"/>
              </w:rPr>
              <w:t xml:space="preserve"> </w:t>
            </w:r>
            <w:r w:rsidRPr="00EB25D6">
              <w:rPr>
                <w:rFonts w:cstheme="minorHAnsi"/>
                <w:sz w:val="24"/>
                <w:szCs w:val="24"/>
              </w:rPr>
              <w:t>to identify</w:t>
            </w:r>
            <w:r w:rsidR="007C37DC">
              <w:rPr>
                <w:rFonts w:cstheme="minorHAnsi"/>
                <w:sz w:val="24"/>
                <w:szCs w:val="24"/>
              </w:rPr>
              <w:t xml:space="preserve"> </w:t>
            </w:r>
            <w:r w:rsidRPr="00EB25D6">
              <w:rPr>
                <w:rFonts w:cstheme="minorHAnsi"/>
                <w:sz w:val="24"/>
                <w:szCs w:val="24"/>
              </w:rPr>
              <w:t xml:space="preserve">potential opportunities for regional </w:t>
            </w:r>
            <w:r w:rsidR="00252C9F">
              <w:rPr>
                <w:rFonts w:cstheme="minorHAnsi"/>
                <w:sz w:val="24"/>
                <w:szCs w:val="24"/>
              </w:rPr>
              <w:t>delivery</w:t>
            </w:r>
          </w:p>
        </w:tc>
        <w:tc>
          <w:tcPr>
            <w:tcW w:w="1602" w:type="dxa"/>
          </w:tcPr>
          <w:p w14:paraId="1E9F1C54" w14:textId="5E2C0BBA" w:rsidR="00F10310" w:rsidRDefault="00A33CEE" w:rsidP="00952023">
            <w:pPr>
              <w:rPr>
                <w:rFonts w:cstheme="minorHAnsi"/>
                <w:sz w:val="24"/>
                <w:szCs w:val="24"/>
              </w:rPr>
            </w:pPr>
            <w:r>
              <w:rPr>
                <w:rFonts w:cstheme="minorHAnsi"/>
                <w:sz w:val="24"/>
                <w:szCs w:val="24"/>
              </w:rPr>
              <w:t xml:space="preserve">March </w:t>
            </w:r>
            <w:r w:rsidR="00017A6E" w:rsidRPr="00017A6E">
              <w:rPr>
                <w:rFonts w:cstheme="minorHAnsi"/>
                <w:sz w:val="24"/>
                <w:szCs w:val="24"/>
              </w:rPr>
              <w:t>24</w:t>
            </w:r>
          </w:p>
        </w:tc>
        <w:tc>
          <w:tcPr>
            <w:tcW w:w="2218" w:type="dxa"/>
          </w:tcPr>
          <w:p w14:paraId="590E8A98" w14:textId="1A2B78B7" w:rsidR="00F10310" w:rsidRDefault="007C37DC" w:rsidP="00952023">
            <w:pPr>
              <w:rPr>
                <w:rFonts w:cstheme="minorHAnsi"/>
                <w:sz w:val="24"/>
                <w:szCs w:val="24"/>
              </w:rPr>
            </w:pPr>
            <w:r w:rsidRPr="007C37DC">
              <w:rPr>
                <w:rFonts w:cstheme="minorHAnsi"/>
                <w:sz w:val="24"/>
                <w:szCs w:val="24"/>
              </w:rPr>
              <w:t>GSWAG Governance group</w:t>
            </w:r>
            <w:r w:rsidR="00E90CC8">
              <w:rPr>
                <w:rFonts w:cstheme="minorHAnsi"/>
                <w:sz w:val="24"/>
                <w:szCs w:val="24"/>
              </w:rPr>
              <w:t xml:space="preserve"> &amp; </w:t>
            </w:r>
            <w:r w:rsidR="00E90CC8" w:rsidRPr="00C04DE1">
              <w:rPr>
                <w:rFonts w:cstheme="minorHAnsi"/>
                <w:sz w:val="24"/>
                <w:szCs w:val="24"/>
              </w:rPr>
              <w:t>Stakeholder Steering group</w:t>
            </w:r>
          </w:p>
        </w:tc>
      </w:tr>
      <w:tr w:rsidR="00AB1918" w14:paraId="750BE115" w14:textId="77777777" w:rsidTr="0024608B">
        <w:trPr>
          <w:trHeight w:val="710"/>
        </w:trPr>
        <w:tc>
          <w:tcPr>
            <w:tcW w:w="5953" w:type="dxa"/>
          </w:tcPr>
          <w:p w14:paraId="13FD4766" w14:textId="171EA05A" w:rsidR="00AB1918" w:rsidRDefault="00AB1918" w:rsidP="00952023">
            <w:pPr>
              <w:rPr>
                <w:rFonts w:cstheme="minorHAnsi"/>
                <w:sz w:val="24"/>
                <w:szCs w:val="24"/>
              </w:rPr>
            </w:pPr>
            <w:r w:rsidRPr="00AB1918">
              <w:rPr>
                <w:rFonts w:cstheme="minorHAnsi"/>
                <w:sz w:val="24"/>
                <w:szCs w:val="24"/>
              </w:rPr>
              <w:t xml:space="preserve">Formulate </w:t>
            </w:r>
            <w:r w:rsidR="00AA0EB7">
              <w:rPr>
                <w:rFonts w:cstheme="minorHAnsi"/>
                <w:sz w:val="24"/>
                <w:szCs w:val="24"/>
              </w:rPr>
              <w:t>outcome templates for each area of focus (following theory of change approach)</w:t>
            </w:r>
            <w:r w:rsidR="007C37DC">
              <w:rPr>
                <w:rFonts w:cstheme="minorHAnsi"/>
                <w:sz w:val="24"/>
                <w:szCs w:val="24"/>
              </w:rPr>
              <w:t xml:space="preserve"> </w:t>
            </w:r>
          </w:p>
        </w:tc>
        <w:tc>
          <w:tcPr>
            <w:tcW w:w="1602" w:type="dxa"/>
          </w:tcPr>
          <w:p w14:paraId="76A8BF0F" w14:textId="1C06ECCB" w:rsidR="00AB1918" w:rsidRDefault="00017A6E" w:rsidP="00952023">
            <w:pPr>
              <w:rPr>
                <w:rFonts w:cstheme="minorHAnsi"/>
                <w:sz w:val="24"/>
                <w:szCs w:val="24"/>
              </w:rPr>
            </w:pPr>
            <w:r>
              <w:rPr>
                <w:rFonts w:cstheme="minorHAnsi"/>
                <w:sz w:val="24"/>
                <w:szCs w:val="24"/>
              </w:rPr>
              <w:t>March</w:t>
            </w:r>
            <w:r w:rsidR="00A33CEE">
              <w:rPr>
                <w:rFonts w:cstheme="minorHAnsi"/>
                <w:sz w:val="24"/>
                <w:szCs w:val="24"/>
              </w:rPr>
              <w:t xml:space="preserve"> </w:t>
            </w:r>
            <w:r>
              <w:rPr>
                <w:rFonts w:cstheme="minorHAnsi"/>
                <w:sz w:val="24"/>
                <w:szCs w:val="24"/>
              </w:rPr>
              <w:t>24</w:t>
            </w:r>
          </w:p>
        </w:tc>
        <w:tc>
          <w:tcPr>
            <w:tcW w:w="2218" w:type="dxa"/>
          </w:tcPr>
          <w:p w14:paraId="42B6ACB1" w14:textId="4D478326" w:rsidR="00AB1918" w:rsidRDefault="007C37DC" w:rsidP="00952023">
            <w:pPr>
              <w:rPr>
                <w:rFonts w:cstheme="minorHAnsi"/>
                <w:sz w:val="24"/>
                <w:szCs w:val="24"/>
              </w:rPr>
            </w:pPr>
            <w:r w:rsidRPr="007C37DC">
              <w:rPr>
                <w:rFonts w:cstheme="minorHAnsi"/>
                <w:sz w:val="24"/>
                <w:szCs w:val="24"/>
              </w:rPr>
              <w:t>GSWAG Governance group</w:t>
            </w:r>
            <w:r>
              <w:rPr>
                <w:rFonts w:cstheme="minorHAnsi"/>
                <w:sz w:val="24"/>
                <w:szCs w:val="24"/>
              </w:rPr>
              <w:t xml:space="preserve"> &amp; Stakeholder Steering Group</w:t>
            </w:r>
          </w:p>
        </w:tc>
      </w:tr>
      <w:tr w:rsidR="00AB1918" w14:paraId="4467E8FB" w14:textId="77777777" w:rsidTr="0024608B">
        <w:tc>
          <w:tcPr>
            <w:tcW w:w="5953" w:type="dxa"/>
          </w:tcPr>
          <w:p w14:paraId="04DF00DF" w14:textId="7AD88138" w:rsidR="00AB1918" w:rsidRDefault="00DB491B" w:rsidP="00952023">
            <w:pPr>
              <w:rPr>
                <w:rFonts w:cstheme="minorHAnsi"/>
                <w:sz w:val="24"/>
                <w:szCs w:val="24"/>
              </w:rPr>
            </w:pPr>
            <w:r>
              <w:rPr>
                <w:rFonts w:cstheme="minorHAnsi"/>
                <w:sz w:val="24"/>
                <w:szCs w:val="24"/>
              </w:rPr>
              <w:t xml:space="preserve">To present </w:t>
            </w:r>
            <w:r w:rsidR="00AA0EB7" w:rsidRPr="00AA0EB7">
              <w:rPr>
                <w:rFonts w:cstheme="minorHAnsi"/>
                <w:sz w:val="24"/>
                <w:szCs w:val="24"/>
              </w:rPr>
              <w:t xml:space="preserve">outcome templates for each area of focus </w:t>
            </w:r>
            <w:r>
              <w:rPr>
                <w:rFonts w:cstheme="minorHAnsi"/>
                <w:sz w:val="24"/>
                <w:szCs w:val="24"/>
              </w:rPr>
              <w:t>to</w:t>
            </w:r>
            <w:r w:rsidR="00AA0EB7">
              <w:rPr>
                <w:rFonts w:cstheme="minorHAnsi"/>
                <w:sz w:val="24"/>
                <w:szCs w:val="24"/>
              </w:rPr>
              <w:t xml:space="preserve"> the</w:t>
            </w:r>
            <w:r>
              <w:rPr>
                <w:rFonts w:cstheme="minorHAnsi"/>
                <w:sz w:val="24"/>
                <w:szCs w:val="24"/>
              </w:rPr>
              <w:t xml:space="preserve"> PSB to</w:t>
            </w:r>
            <w:r w:rsidRPr="00DB491B">
              <w:rPr>
                <w:rFonts w:cstheme="minorHAnsi"/>
                <w:sz w:val="24"/>
                <w:szCs w:val="24"/>
              </w:rPr>
              <w:t xml:space="preserve"> consider project priority, resource implications and next steps. (</w:t>
            </w:r>
            <w:r w:rsidR="00AA0EB7">
              <w:rPr>
                <w:rFonts w:cstheme="minorHAnsi"/>
                <w:sz w:val="24"/>
                <w:szCs w:val="24"/>
              </w:rPr>
              <w:t>T</w:t>
            </w:r>
            <w:r>
              <w:rPr>
                <w:rFonts w:cstheme="minorHAnsi"/>
                <w:sz w:val="24"/>
                <w:szCs w:val="24"/>
              </w:rPr>
              <w:t>o</w:t>
            </w:r>
            <w:r w:rsidRPr="00DB491B">
              <w:rPr>
                <w:rFonts w:cstheme="minorHAnsi"/>
                <w:sz w:val="24"/>
                <w:szCs w:val="24"/>
              </w:rPr>
              <w:t xml:space="preserve"> also be presented to PSB scrutiny prior to the PSB)</w:t>
            </w:r>
          </w:p>
        </w:tc>
        <w:tc>
          <w:tcPr>
            <w:tcW w:w="1602" w:type="dxa"/>
          </w:tcPr>
          <w:p w14:paraId="7A310EC0" w14:textId="762D3104" w:rsidR="00AB1918" w:rsidRDefault="00A33CEE" w:rsidP="00952023">
            <w:pPr>
              <w:rPr>
                <w:rFonts w:cstheme="minorHAnsi"/>
                <w:sz w:val="24"/>
                <w:szCs w:val="24"/>
              </w:rPr>
            </w:pPr>
            <w:r>
              <w:rPr>
                <w:rFonts w:cstheme="minorHAnsi"/>
                <w:sz w:val="24"/>
                <w:szCs w:val="24"/>
              </w:rPr>
              <w:t xml:space="preserve">April </w:t>
            </w:r>
            <w:r w:rsidR="00DB491B" w:rsidRPr="00DB491B">
              <w:rPr>
                <w:rFonts w:cstheme="minorHAnsi"/>
                <w:sz w:val="24"/>
                <w:szCs w:val="24"/>
              </w:rPr>
              <w:t>24</w:t>
            </w:r>
          </w:p>
        </w:tc>
        <w:tc>
          <w:tcPr>
            <w:tcW w:w="2218" w:type="dxa"/>
          </w:tcPr>
          <w:p w14:paraId="470FCE3E" w14:textId="64B9F8A1" w:rsidR="00AB1918" w:rsidRDefault="00DB491B" w:rsidP="00952023">
            <w:pPr>
              <w:rPr>
                <w:rFonts w:cstheme="minorHAnsi"/>
                <w:sz w:val="24"/>
                <w:szCs w:val="24"/>
              </w:rPr>
            </w:pPr>
            <w:r>
              <w:rPr>
                <w:rFonts w:cstheme="minorHAnsi"/>
                <w:sz w:val="24"/>
                <w:szCs w:val="24"/>
              </w:rPr>
              <w:t>PSB &amp; PSB scrutiny</w:t>
            </w:r>
          </w:p>
        </w:tc>
      </w:tr>
      <w:tr w:rsidR="00017A6E" w14:paraId="75C5AA81" w14:textId="77777777" w:rsidTr="0024608B">
        <w:tc>
          <w:tcPr>
            <w:tcW w:w="5953" w:type="dxa"/>
          </w:tcPr>
          <w:p w14:paraId="52ABDE7D" w14:textId="7785BD80" w:rsidR="006832FC" w:rsidRDefault="007C37DC" w:rsidP="00952023">
            <w:pPr>
              <w:rPr>
                <w:rFonts w:cstheme="minorHAnsi"/>
                <w:sz w:val="24"/>
                <w:szCs w:val="24"/>
              </w:rPr>
            </w:pPr>
            <w:r>
              <w:rPr>
                <w:rFonts w:cstheme="minorHAnsi"/>
                <w:sz w:val="24"/>
                <w:szCs w:val="24"/>
              </w:rPr>
              <w:t xml:space="preserve">Once agreed, embed within Performance Management Framework. </w:t>
            </w:r>
          </w:p>
        </w:tc>
        <w:tc>
          <w:tcPr>
            <w:tcW w:w="1602" w:type="dxa"/>
          </w:tcPr>
          <w:p w14:paraId="26834B70" w14:textId="57A0D604" w:rsidR="006832FC" w:rsidRDefault="007C37DC" w:rsidP="00952023">
            <w:pPr>
              <w:rPr>
                <w:rFonts w:cstheme="minorHAnsi"/>
                <w:sz w:val="24"/>
                <w:szCs w:val="24"/>
              </w:rPr>
            </w:pPr>
            <w:r>
              <w:rPr>
                <w:rFonts w:cstheme="minorHAnsi"/>
                <w:sz w:val="24"/>
                <w:szCs w:val="24"/>
              </w:rPr>
              <w:t xml:space="preserve">Ongoing </w:t>
            </w:r>
          </w:p>
        </w:tc>
        <w:tc>
          <w:tcPr>
            <w:tcW w:w="2218" w:type="dxa"/>
          </w:tcPr>
          <w:p w14:paraId="15F1BBFE" w14:textId="77777777" w:rsidR="006832FC" w:rsidRDefault="006832FC" w:rsidP="00952023">
            <w:pPr>
              <w:rPr>
                <w:rFonts w:cstheme="minorHAnsi"/>
                <w:sz w:val="24"/>
                <w:szCs w:val="24"/>
              </w:rPr>
            </w:pPr>
          </w:p>
        </w:tc>
      </w:tr>
    </w:tbl>
    <w:p w14:paraId="6A274A58" w14:textId="77777777" w:rsidR="009D57B2" w:rsidRDefault="009D57B2" w:rsidP="00032ECC">
      <w:pPr>
        <w:spacing w:after="0" w:line="240" w:lineRule="auto"/>
        <w:rPr>
          <w:rFonts w:cstheme="minorHAnsi"/>
          <w:sz w:val="24"/>
          <w:szCs w:val="24"/>
        </w:rPr>
      </w:pPr>
    </w:p>
    <w:p w14:paraId="54C75451" w14:textId="77777777" w:rsidR="00192EFD" w:rsidRDefault="00192EFD" w:rsidP="00032ECC">
      <w:pPr>
        <w:spacing w:after="0" w:line="240" w:lineRule="auto"/>
        <w:rPr>
          <w:rFonts w:cstheme="minorHAnsi"/>
          <w:sz w:val="24"/>
          <w:szCs w:val="24"/>
        </w:rPr>
      </w:pPr>
    </w:p>
    <w:p w14:paraId="0FEFEBDA" w14:textId="77777777" w:rsidR="00192EFD" w:rsidRDefault="00192EFD" w:rsidP="00032ECC">
      <w:pPr>
        <w:spacing w:after="0" w:line="240" w:lineRule="auto"/>
        <w:rPr>
          <w:rFonts w:cstheme="minorHAnsi"/>
          <w:sz w:val="24"/>
          <w:szCs w:val="24"/>
        </w:rPr>
      </w:pPr>
    </w:p>
    <w:p w14:paraId="2045DD9E" w14:textId="555373AC" w:rsidR="00941BA6" w:rsidRPr="003266EC" w:rsidRDefault="00941BA6" w:rsidP="000B5F57">
      <w:pPr>
        <w:pStyle w:val="paragraph"/>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b/>
          <w:bCs/>
        </w:rPr>
        <w:t>Appendix</w:t>
      </w:r>
      <w:r w:rsidR="003266EC" w:rsidRPr="003266EC">
        <w:rPr>
          <w:rStyle w:val="normaltextrun"/>
          <w:rFonts w:asciiTheme="minorHAnsi" w:hAnsiTheme="minorHAnsi" w:cstheme="minorHAnsi"/>
          <w:b/>
          <w:bCs/>
        </w:rPr>
        <w:t xml:space="preserve"> 4</w:t>
      </w:r>
      <w:r w:rsidRPr="003266EC">
        <w:rPr>
          <w:rStyle w:val="normaltextrun"/>
          <w:rFonts w:asciiTheme="minorHAnsi" w:hAnsiTheme="minorHAnsi" w:cstheme="minorHAnsi"/>
          <w:b/>
          <w:bCs/>
        </w:rPr>
        <w:t xml:space="preserve"> Gwent PSB (Public Service</w:t>
      </w:r>
      <w:r w:rsidR="00911312">
        <w:rPr>
          <w:rStyle w:val="normaltextrun"/>
          <w:rFonts w:asciiTheme="minorHAnsi" w:hAnsiTheme="minorHAnsi" w:cstheme="minorHAnsi"/>
          <w:b/>
          <w:bCs/>
        </w:rPr>
        <w:t>s</w:t>
      </w:r>
      <w:r w:rsidRPr="003266EC">
        <w:rPr>
          <w:rStyle w:val="normaltextrun"/>
          <w:rFonts w:asciiTheme="minorHAnsi" w:hAnsiTheme="minorHAnsi" w:cstheme="minorHAnsi"/>
          <w:b/>
          <w:bCs/>
        </w:rPr>
        <w:t xml:space="preserve"> Board) Wellbeing Plan Delivery Plan Report - Leadership Group Role &amp; Function </w:t>
      </w:r>
      <w:r w:rsidRPr="003266EC">
        <w:rPr>
          <w:rStyle w:val="eop"/>
          <w:rFonts w:asciiTheme="minorHAnsi" w:hAnsiTheme="minorHAnsi" w:cstheme="minorHAnsi"/>
        </w:rPr>
        <w:t> </w:t>
      </w:r>
    </w:p>
    <w:p w14:paraId="3353B26B" w14:textId="77777777" w:rsidR="00941BA6" w:rsidRPr="003266EC" w:rsidRDefault="00941BA6" w:rsidP="00941BA6">
      <w:pPr>
        <w:pStyle w:val="paragraph"/>
        <w:spacing w:before="0" w:beforeAutospacing="0" w:after="0" w:afterAutospacing="0"/>
        <w:textAlignment w:val="baseline"/>
        <w:rPr>
          <w:rFonts w:asciiTheme="minorHAnsi" w:hAnsiTheme="minorHAnsi" w:cstheme="minorHAnsi"/>
        </w:rPr>
      </w:pPr>
      <w:r w:rsidRPr="003266EC">
        <w:rPr>
          <w:rStyle w:val="eop"/>
          <w:rFonts w:asciiTheme="minorHAnsi" w:hAnsiTheme="minorHAnsi" w:cstheme="minorHAnsi"/>
        </w:rPr>
        <w:t> </w:t>
      </w:r>
    </w:p>
    <w:p w14:paraId="2CF0794E" w14:textId="77777777" w:rsidR="00941BA6" w:rsidRPr="003266EC" w:rsidRDefault="00941BA6" w:rsidP="00941BA6">
      <w:pPr>
        <w:pStyle w:val="paragraph"/>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b/>
          <w:bCs/>
        </w:rPr>
        <w:t>Lead Role: </w:t>
      </w:r>
      <w:r w:rsidRPr="003266EC">
        <w:rPr>
          <w:rStyle w:val="eop"/>
          <w:rFonts w:asciiTheme="minorHAnsi" w:hAnsiTheme="minorHAnsi" w:cstheme="minorHAnsi"/>
        </w:rPr>
        <w:t> </w:t>
      </w:r>
    </w:p>
    <w:p w14:paraId="206A7549" w14:textId="77777777" w:rsidR="00941BA6" w:rsidRPr="003266EC" w:rsidRDefault="00941BA6" w:rsidP="00246F90">
      <w:pPr>
        <w:pStyle w:val="paragraph"/>
        <w:numPr>
          <w:ilvl w:val="0"/>
          <w:numId w:val="8"/>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 xml:space="preserve">Chair &amp; lead the meetings </w:t>
      </w:r>
      <w:r w:rsidRPr="003266EC">
        <w:rPr>
          <w:rStyle w:val="eop"/>
          <w:rFonts w:asciiTheme="minorHAnsi" w:hAnsiTheme="minorHAnsi" w:cstheme="minorHAnsi"/>
        </w:rPr>
        <w:t> </w:t>
      </w:r>
    </w:p>
    <w:p w14:paraId="2F224418" w14:textId="77777777" w:rsidR="00941BA6" w:rsidRPr="003266EC" w:rsidRDefault="00941BA6" w:rsidP="00246F90">
      <w:pPr>
        <w:pStyle w:val="paragraph"/>
        <w:numPr>
          <w:ilvl w:val="0"/>
          <w:numId w:val="8"/>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 xml:space="preserve">Appoint a deputy Chair </w:t>
      </w:r>
      <w:r w:rsidRPr="003266EC">
        <w:rPr>
          <w:rStyle w:val="eop"/>
          <w:rFonts w:asciiTheme="minorHAnsi" w:hAnsiTheme="minorHAnsi" w:cstheme="minorHAnsi"/>
        </w:rPr>
        <w:t> </w:t>
      </w:r>
    </w:p>
    <w:p w14:paraId="509B06A3" w14:textId="0F1A8F53" w:rsidR="00941BA6" w:rsidRPr="003266EC" w:rsidRDefault="00941BA6" w:rsidP="00246F90">
      <w:pPr>
        <w:pStyle w:val="paragraph"/>
        <w:numPr>
          <w:ilvl w:val="0"/>
          <w:numId w:val="8"/>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Agree membership consisting of partner and expert representatives</w:t>
      </w:r>
      <w:r w:rsidR="00321CBE">
        <w:rPr>
          <w:rStyle w:val="normaltextrun"/>
          <w:rFonts w:asciiTheme="minorHAnsi" w:hAnsiTheme="minorHAnsi" w:cstheme="minorHAnsi"/>
        </w:rPr>
        <w:t xml:space="preserve"> </w:t>
      </w:r>
      <w:r w:rsidR="00321CBE" w:rsidRPr="000305D0">
        <w:rPr>
          <w:rStyle w:val="normaltextrun"/>
          <w:rFonts w:asciiTheme="minorHAnsi" w:hAnsiTheme="minorHAnsi" w:cstheme="minorHAnsi"/>
        </w:rPr>
        <w:t xml:space="preserve">from </w:t>
      </w:r>
      <w:r w:rsidR="00156870" w:rsidRPr="000305D0">
        <w:rPr>
          <w:rStyle w:val="normaltextrun"/>
          <w:rFonts w:asciiTheme="minorHAnsi" w:hAnsiTheme="minorHAnsi" w:cstheme="minorHAnsi"/>
        </w:rPr>
        <w:t>relevant</w:t>
      </w:r>
      <w:r w:rsidR="00B15253" w:rsidRPr="000305D0">
        <w:rPr>
          <w:rStyle w:val="normaltextrun"/>
          <w:rFonts w:asciiTheme="minorHAnsi" w:hAnsiTheme="minorHAnsi" w:cstheme="minorHAnsi"/>
        </w:rPr>
        <w:t>/cross-</w:t>
      </w:r>
      <w:r w:rsidR="00156870" w:rsidRPr="000305D0">
        <w:rPr>
          <w:rStyle w:val="normaltextrun"/>
          <w:rFonts w:asciiTheme="minorHAnsi" w:hAnsiTheme="minorHAnsi" w:cstheme="minorHAnsi"/>
        </w:rPr>
        <w:t>sectors</w:t>
      </w:r>
      <w:r w:rsidRPr="000305D0">
        <w:rPr>
          <w:rStyle w:val="normaltextrun"/>
          <w:rFonts w:asciiTheme="minorHAnsi" w:hAnsiTheme="minorHAnsi" w:cstheme="minorHAnsi"/>
        </w:rPr>
        <w:t>,</w:t>
      </w:r>
      <w:r w:rsidRPr="003266EC">
        <w:rPr>
          <w:rStyle w:val="normaltextrun"/>
          <w:rFonts w:asciiTheme="minorHAnsi" w:hAnsiTheme="minorHAnsi" w:cstheme="minorHAnsi"/>
        </w:rPr>
        <w:t xml:space="preserve"> who have relevant knowledge and authority to make or guide strategic decisions </w:t>
      </w:r>
      <w:r w:rsidRPr="003266EC">
        <w:rPr>
          <w:rStyle w:val="eop"/>
          <w:rFonts w:asciiTheme="minorHAnsi" w:hAnsiTheme="minorHAnsi" w:cstheme="minorHAnsi"/>
        </w:rPr>
        <w:t> </w:t>
      </w:r>
    </w:p>
    <w:p w14:paraId="665A84B6" w14:textId="77777777" w:rsidR="00941BA6" w:rsidRPr="003266EC" w:rsidRDefault="00941BA6" w:rsidP="00246F90">
      <w:pPr>
        <w:pStyle w:val="paragraph"/>
        <w:numPr>
          <w:ilvl w:val="0"/>
          <w:numId w:val="8"/>
        </w:numPr>
        <w:spacing w:before="0" w:beforeAutospacing="0" w:after="0" w:afterAutospacing="0"/>
        <w:textAlignment w:val="baseline"/>
        <w:rPr>
          <w:rStyle w:val="eop"/>
          <w:rFonts w:asciiTheme="minorHAnsi" w:hAnsiTheme="minorHAnsi" w:cstheme="minorHAnsi"/>
        </w:rPr>
      </w:pPr>
      <w:r w:rsidRPr="003266EC">
        <w:rPr>
          <w:rStyle w:val="normaltextrun"/>
          <w:rFonts w:asciiTheme="minorHAnsi" w:hAnsiTheme="minorHAnsi" w:cstheme="minorHAnsi"/>
        </w:rPr>
        <w:t xml:space="preserve">To drive the pace of the work of the group and report to PSB directly </w:t>
      </w:r>
      <w:r w:rsidRPr="003266EC">
        <w:rPr>
          <w:rStyle w:val="eop"/>
          <w:rFonts w:asciiTheme="minorHAnsi" w:hAnsiTheme="minorHAnsi" w:cstheme="minorHAnsi"/>
        </w:rPr>
        <w:t> </w:t>
      </w:r>
    </w:p>
    <w:p w14:paraId="16510E04" w14:textId="77777777" w:rsidR="001E5A38" w:rsidRPr="003266EC" w:rsidRDefault="001E5A38" w:rsidP="001E5A38">
      <w:pPr>
        <w:pStyle w:val="paragraph"/>
        <w:spacing w:before="0" w:beforeAutospacing="0" w:after="0" w:afterAutospacing="0"/>
        <w:ind w:left="720"/>
        <w:textAlignment w:val="baseline"/>
        <w:rPr>
          <w:rFonts w:asciiTheme="minorHAnsi" w:hAnsiTheme="minorHAnsi" w:cstheme="minorHAnsi"/>
        </w:rPr>
      </w:pPr>
    </w:p>
    <w:p w14:paraId="39A230BB" w14:textId="77777777" w:rsidR="00941BA6" w:rsidRPr="003266EC" w:rsidRDefault="00941BA6" w:rsidP="00941BA6">
      <w:pPr>
        <w:pStyle w:val="paragraph"/>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b/>
          <w:bCs/>
        </w:rPr>
        <w:t xml:space="preserve">Support Staff: </w:t>
      </w:r>
      <w:r w:rsidRPr="003266EC">
        <w:rPr>
          <w:rStyle w:val="eop"/>
          <w:rFonts w:asciiTheme="minorHAnsi" w:hAnsiTheme="minorHAnsi" w:cstheme="minorHAnsi"/>
        </w:rPr>
        <w:t> </w:t>
      </w:r>
    </w:p>
    <w:p w14:paraId="1E343E04" w14:textId="77777777" w:rsidR="00941BA6" w:rsidRPr="003266EC" w:rsidRDefault="00941BA6" w:rsidP="00246F90">
      <w:pPr>
        <w:pStyle w:val="paragraph"/>
        <w:numPr>
          <w:ilvl w:val="0"/>
          <w:numId w:val="9"/>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Members of GSWAG (Gwent Strategic Well Being Action Group) will support the relevant area of focus</w:t>
      </w:r>
      <w:r w:rsidRPr="003266EC">
        <w:rPr>
          <w:rStyle w:val="eop"/>
          <w:rFonts w:asciiTheme="minorHAnsi" w:hAnsiTheme="minorHAnsi" w:cstheme="minorHAnsi"/>
        </w:rPr>
        <w:t> </w:t>
      </w:r>
    </w:p>
    <w:p w14:paraId="553BEF40" w14:textId="1411D9B2" w:rsidR="00941BA6" w:rsidRPr="003266EC" w:rsidRDefault="00941BA6" w:rsidP="00246F90">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3266EC">
        <w:rPr>
          <w:rStyle w:val="normaltextrun"/>
          <w:rFonts w:asciiTheme="minorHAnsi" w:hAnsiTheme="minorHAnsi" w:cstheme="minorHAnsi"/>
        </w:rPr>
        <w:t>Gwent PSB Policy Officer: Engagement, Monitoring &amp; Evaluation will coordinate work where required, and support development of the P</w:t>
      </w:r>
      <w:r w:rsidR="000B5F57" w:rsidRPr="003266EC">
        <w:rPr>
          <w:rStyle w:val="normaltextrun"/>
          <w:rFonts w:asciiTheme="minorHAnsi" w:hAnsiTheme="minorHAnsi" w:cstheme="minorHAnsi"/>
        </w:rPr>
        <w:t>erformance Management Fra</w:t>
      </w:r>
      <w:r w:rsidR="007518A8" w:rsidRPr="003266EC">
        <w:rPr>
          <w:rStyle w:val="normaltextrun"/>
          <w:rFonts w:asciiTheme="minorHAnsi" w:hAnsiTheme="minorHAnsi" w:cstheme="minorHAnsi"/>
        </w:rPr>
        <w:t>mework</w:t>
      </w:r>
    </w:p>
    <w:p w14:paraId="39665DB1" w14:textId="77777777" w:rsidR="001E5A38" w:rsidRPr="003266EC" w:rsidRDefault="001E5A38" w:rsidP="001E5A38">
      <w:pPr>
        <w:pStyle w:val="paragraph"/>
        <w:spacing w:before="0" w:beforeAutospacing="0" w:after="0" w:afterAutospacing="0"/>
        <w:ind w:left="720"/>
        <w:textAlignment w:val="baseline"/>
        <w:rPr>
          <w:rFonts w:asciiTheme="minorHAnsi" w:hAnsiTheme="minorHAnsi" w:cstheme="minorHAnsi"/>
        </w:rPr>
      </w:pPr>
    </w:p>
    <w:p w14:paraId="7756553F" w14:textId="77777777" w:rsidR="00941BA6" w:rsidRPr="003266EC" w:rsidRDefault="00941BA6" w:rsidP="00941BA6">
      <w:pPr>
        <w:pStyle w:val="paragraph"/>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b/>
          <w:bCs/>
        </w:rPr>
        <w:t>The Group Role:</w:t>
      </w:r>
      <w:r w:rsidRPr="003266EC">
        <w:rPr>
          <w:rStyle w:val="normaltextrun"/>
          <w:rFonts w:asciiTheme="minorHAnsi" w:hAnsiTheme="minorHAnsi" w:cstheme="minorHAnsi"/>
        </w:rPr>
        <w:t xml:space="preserve"> </w:t>
      </w:r>
      <w:r w:rsidRPr="003266EC">
        <w:rPr>
          <w:rStyle w:val="eop"/>
          <w:rFonts w:asciiTheme="minorHAnsi" w:hAnsiTheme="minorHAnsi" w:cstheme="minorHAnsi"/>
        </w:rPr>
        <w:t> </w:t>
      </w:r>
    </w:p>
    <w:p w14:paraId="46113A69"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Identifying the scale of focus required and ensure coordination of regional collaborative activity, sub regional activity and Local activity</w:t>
      </w:r>
      <w:r w:rsidRPr="003266EC">
        <w:rPr>
          <w:rStyle w:val="eop"/>
          <w:rFonts w:asciiTheme="minorHAnsi" w:hAnsiTheme="minorHAnsi" w:cstheme="minorHAnsi"/>
        </w:rPr>
        <w:t> </w:t>
      </w:r>
    </w:p>
    <w:p w14:paraId="1DFAB6F9"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 xml:space="preserve">Engaging with the Local Delivery Groups operating in the five local authority area footprints where local delivery of the regional priorities may be required </w:t>
      </w:r>
      <w:r w:rsidRPr="003266EC">
        <w:rPr>
          <w:rStyle w:val="eop"/>
          <w:rFonts w:asciiTheme="minorHAnsi" w:hAnsiTheme="minorHAnsi" w:cstheme="minorHAnsi"/>
        </w:rPr>
        <w:t> </w:t>
      </w:r>
    </w:p>
    <w:p w14:paraId="364A265B"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 xml:space="preserve">Strengthen links with other regional boards and structures to meet the ambitions and priorities of the Gwent PSB </w:t>
      </w:r>
      <w:r w:rsidRPr="003266EC">
        <w:rPr>
          <w:rStyle w:val="eop"/>
          <w:rFonts w:asciiTheme="minorHAnsi" w:hAnsiTheme="minorHAnsi" w:cstheme="minorHAnsi"/>
        </w:rPr>
        <w:t> </w:t>
      </w:r>
    </w:p>
    <w:p w14:paraId="55AE37DD"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Engage wider local, regional, and national partners and further involve citizens in the delivery of the outcome</w:t>
      </w:r>
      <w:r w:rsidRPr="003266EC">
        <w:rPr>
          <w:rStyle w:val="eop"/>
          <w:rFonts w:asciiTheme="minorHAnsi" w:hAnsiTheme="minorHAnsi" w:cstheme="minorHAnsi"/>
        </w:rPr>
        <w:t> </w:t>
      </w:r>
    </w:p>
    <w:p w14:paraId="17A20C14"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Ensuring integration, where required, with other area of focus outcomes</w:t>
      </w:r>
      <w:r w:rsidRPr="003266EC">
        <w:rPr>
          <w:rStyle w:val="eop"/>
          <w:rFonts w:asciiTheme="minorHAnsi" w:hAnsiTheme="minorHAnsi" w:cstheme="minorHAnsi"/>
        </w:rPr>
        <w:t> </w:t>
      </w:r>
    </w:p>
    <w:p w14:paraId="3EB6193B"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Embedding the Marmot principles and the recommendations for Gwent, presented to the PSB by the Institute of Health Equity in the Building a Fairer Gwent report, in the outcomes</w:t>
      </w:r>
      <w:r w:rsidRPr="003266EC">
        <w:rPr>
          <w:rStyle w:val="eop"/>
          <w:rFonts w:asciiTheme="minorHAnsi" w:hAnsiTheme="minorHAnsi" w:cstheme="minorHAnsi"/>
        </w:rPr>
        <w:t> </w:t>
      </w:r>
    </w:p>
    <w:p w14:paraId="6AF2CE96"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Identifying the conditions and governance required to deliver actions over the short, medium &amp; long term.</w:t>
      </w:r>
      <w:r w:rsidRPr="003266EC">
        <w:rPr>
          <w:rStyle w:val="eop"/>
          <w:rFonts w:asciiTheme="minorHAnsi" w:hAnsiTheme="minorHAnsi" w:cstheme="minorHAnsi"/>
        </w:rPr>
        <w:t> </w:t>
      </w:r>
    </w:p>
    <w:p w14:paraId="7FEC4EBE" w14:textId="77777777" w:rsidR="00941BA6" w:rsidRPr="003266EC" w:rsidRDefault="00941BA6" w:rsidP="00246F90">
      <w:pPr>
        <w:pStyle w:val="paragraph"/>
        <w:numPr>
          <w:ilvl w:val="0"/>
          <w:numId w:val="10"/>
        </w:numPr>
        <w:spacing w:before="0" w:beforeAutospacing="0" w:after="0" w:afterAutospacing="0"/>
        <w:textAlignment w:val="baseline"/>
        <w:rPr>
          <w:rFonts w:asciiTheme="minorHAnsi" w:hAnsiTheme="minorHAnsi" w:cstheme="minorHAnsi"/>
        </w:rPr>
      </w:pPr>
      <w:r w:rsidRPr="003266EC">
        <w:rPr>
          <w:rStyle w:val="normaltextrun"/>
          <w:rFonts w:asciiTheme="minorHAnsi" w:hAnsiTheme="minorHAnsi" w:cstheme="minorHAnsi"/>
        </w:rPr>
        <w:t xml:space="preserve">Optimise existing resources to deliver required activity </w:t>
      </w:r>
      <w:r w:rsidRPr="003266EC">
        <w:rPr>
          <w:rStyle w:val="eop"/>
          <w:rFonts w:asciiTheme="minorHAnsi" w:hAnsiTheme="minorHAnsi" w:cstheme="minorHAnsi"/>
        </w:rPr>
        <w:t> </w:t>
      </w:r>
    </w:p>
    <w:p w14:paraId="180406D0" w14:textId="77777777" w:rsidR="00192EFD" w:rsidRDefault="00192EFD" w:rsidP="00032ECC">
      <w:pPr>
        <w:spacing w:after="0" w:line="240" w:lineRule="auto"/>
        <w:rPr>
          <w:rFonts w:cstheme="minorHAnsi"/>
          <w:sz w:val="24"/>
          <w:szCs w:val="24"/>
        </w:rPr>
      </w:pPr>
    </w:p>
    <w:p w14:paraId="4C4CF7AE" w14:textId="77777777" w:rsidR="00192EFD" w:rsidRDefault="00192EFD" w:rsidP="00032ECC">
      <w:pPr>
        <w:spacing w:after="0" w:line="240" w:lineRule="auto"/>
        <w:rPr>
          <w:rFonts w:cstheme="minorHAnsi"/>
          <w:sz w:val="24"/>
          <w:szCs w:val="24"/>
        </w:rPr>
      </w:pPr>
    </w:p>
    <w:p w14:paraId="462C29BC" w14:textId="77777777" w:rsidR="00192EFD" w:rsidRDefault="00192EFD" w:rsidP="00032ECC">
      <w:pPr>
        <w:spacing w:after="0" w:line="240" w:lineRule="auto"/>
        <w:rPr>
          <w:rFonts w:cstheme="minorHAnsi"/>
          <w:sz w:val="24"/>
          <w:szCs w:val="24"/>
        </w:rPr>
      </w:pPr>
    </w:p>
    <w:p w14:paraId="5AF3A232" w14:textId="77777777" w:rsidR="00192EFD" w:rsidRDefault="00192EFD" w:rsidP="00032ECC">
      <w:pPr>
        <w:spacing w:after="0" w:line="240" w:lineRule="auto"/>
        <w:rPr>
          <w:rFonts w:cstheme="minorHAnsi"/>
          <w:sz w:val="24"/>
          <w:szCs w:val="24"/>
        </w:rPr>
      </w:pPr>
    </w:p>
    <w:sectPr w:rsidR="00192EFD" w:rsidSect="00C43CD9">
      <w:pgSz w:w="11906" w:h="16838" w:code="9"/>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8B9D" w14:textId="77777777" w:rsidR="00C43CD9" w:rsidRDefault="00C43CD9">
      <w:pPr>
        <w:spacing w:after="0" w:line="240" w:lineRule="auto"/>
      </w:pPr>
      <w:r>
        <w:separator/>
      </w:r>
    </w:p>
  </w:endnote>
  <w:endnote w:type="continuationSeparator" w:id="0">
    <w:p w14:paraId="1E7EB4BC" w14:textId="77777777" w:rsidR="00C43CD9" w:rsidRDefault="00C43CD9">
      <w:pPr>
        <w:spacing w:after="0" w:line="240" w:lineRule="auto"/>
      </w:pPr>
      <w:r>
        <w:continuationSeparator/>
      </w:r>
    </w:p>
  </w:endnote>
  <w:endnote w:type="continuationNotice" w:id="1">
    <w:p w14:paraId="56E681C7" w14:textId="77777777" w:rsidR="00C43CD9" w:rsidRDefault="00C43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004742"/>
      <w:docPartObj>
        <w:docPartGallery w:val="Page Numbers (Bottom of Page)"/>
        <w:docPartUnique/>
      </w:docPartObj>
    </w:sdtPr>
    <w:sdtEndPr>
      <w:rPr>
        <w:noProof/>
      </w:rPr>
    </w:sdtEndPr>
    <w:sdtContent>
      <w:p w14:paraId="15C1F93C" w14:textId="77777777" w:rsidR="0048039C" w:rsidRDefault="00AE5143">
        <w:pPr>
          <w:pStyle w:val="Footer"/>
          <w:jc w:val="center"/>
        </w:pPr>
        <w:r>
          <w:fldChar w:fldCharType="begin"/>
        </w:r>
        <w:r>
          <w:instrText xml:space="preserve"> PAGE   \* MERGEFORMAT </w:instrText>
        </w:r>
        <w:r>
          <w:fldChar w:fldCharType="separate"/>
        </w:r>
        <w:r w:rsidR="005D6D3E">
          <w:rPr>
            <w:noProof/>
          </w:rPr>
          <w:t>1</w:t>
        </w:r>
        <w:r>
          <w:rPr>
            <w:noProof/>
          </w:rPr>
          <w:fldChar w:fldCharType="end"/>
        </w:r>
      </w:p>
    </w:sdtContent>
  </w:sdt>
  <w:p w14:paraId="4D833D5A" w14:textId="77777777" w:rsidR="0048039C" w:rsidRDefault="0048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7EAB" w14:textId="77777777" w:rsidR="00C43CD9" w:rsidRDefault="00C43CD9">
      <w:pPr>
        <w:spacing w:after="0" w:line="240" w:lineRule="auto"/>
      </w:pPr>
      <w:r>
        <w:separator/>
      </w:r>
    </w:p>
  </w:footnote>
  <w:footnote w:type="continuationSeparator" w:id="0">
    <w:p w14:paraId="26B58EE1" w14:textId="77777777" w:rsidR="00C43CD9" w:rsidRDefault="00C43CD9">
      <w:pPr>
        <w:spacing w:after="0" w:line="240" w:lineRule="auto"/>
      </w:pPr>
      <w:r>
        <w:continuationSeparator/>
      </w:r>
    </w:p>
  </w:footnote>
  <w:footnote w:type="continuationNotice" w:id="1">
    <w:p w14:paraId="44A2CE30" w14:textId="77777777" w:rsidR="00C43CD9" w:rsidRDefault="00C43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63B8" w14:textId="7AEAB398" w:rsidR="0084129A" w:rsidRDefault="0084129A">
    <w:pPr>
      <w:pStyle w:val="Header"/>
    </w:pPr>
    <w:r w:rsidRPr="001B227B">
      <w:rPr>
        <w:rFonts w:ascii="Arial" w:hAnsi="Arial" w:cs="Arial"/>
        <w:b/>
        <w:bCs/>
        <w:noProof/>
      </w:rPr>
      <w:drawing>
        <wp:anchor distT="0" distB="0" distL="114300" distR="114300" simplePos="0" relativeHeight="251658240" behindDoc="1" locked="0" layoutInCell="1" allowOverlap="1" wp14:anchorId="18F8BA91" wp14:editId="035A6E6F">
          <wp:simplePos x="0" y="0"/>
          <wp:positionH relativeFrom="margin">
            <wp:posOffset>-16510</wp:posOffset>
          </wp:positionH>
          <wp:positionV relativeFrom="paragraph">
            <wp:posOffset>-374015</wp:posOffset>
          </wp:positionV>
          <wp:extent cx="1714500" cy="537210"/>
          <wp:effectExtent l="0" t="0" r="0" b="0"/>
          <wp:wrapTight wrapText="bothSides">
            <wp:wrapPolygon edited="0">
              <wp:start x="0" y="0"/>
              <wp:lineTo x="0" y="20681"/>
              <wp:lineTo x="21360" y="20681"/>
              <wp:lineTo x="21360" y="0"/>
              <wp:lineTo x="0" y="0"/>
            </wp:wrapPolygon>
          </wp:wrapTight>
          <wp:docPr id="1530009456" name="Picture 1530009456" descr="Graphical user interface, text, application&#10;&#10;Description automatically generated">
            <a:extLst xmlns:a="http://schemas.openxmlformats.org/drawingml/2006/main">
              <a:ext uri="{FF2B5EF4-FFF2-40B4-BE49-F238E27FC236}">
                <a16:creationId xmlns:a16="http://schemas.microsoft.com/office/drawing/2014/main" id="{BC86F91B-22F3-46D0-8531-032324EB7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 application&#10;&#10;Description automatically generated">
                    <a:extLst>
                      <a:ext uri="{FF2B5EF4-FFF2-40B4-BE49-F238E27FC236}">
                        <a16:creationId xmlns:a16="http://schemas.microsoft.com/office/drawing/2014/main" id="{BC86F91B-22F3-46D0-8531-032324EB72F4}"/>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E933"/>
    <w:multiLevelType w:val="hybridMultilevel"/>
    <w:tmpl w:val="7E38CE1E"/>
    <w:lvl w:ilvl="0" w:tplc="01187378">
      <w:start w:val="1"/>
      <w:numFmt w:val="bullet"/>
      <w:lvlText w:val="·"/>
      <w:lvlJc w:val="left"/>
      <w:pPr>
        <w:ind w:left="720" w:hanging="360"/>
      </w:pPr>
      <w:rPr>
        <w:rFonts w:ascii="Symbol" w:hAnsi="Symbol" w:hint="default"/>
      </w:rPr>
    </w:lvl>
    <w:lvl w:ilvl="1" w:tplc="43F0D626">
      <w:start w:val="1"/>
      <w:numFmt w:val="bullet"/>
      <w:lvlText w:val="o"/>
      <w:lvlJc w:val="left"/>
      <w:pPr>
        <w:ind w:left="1440" w:hanging="360"/>
      </w:pPr>
      <w:rPr>
        <w:rFonts w:ascii="Courier New" w:hAnsi="Courier New" w:hint="default"/>
      </w:rPr>
    </w:lvl>
    <w:lvl w:ilvl="2" w:tplc="22F8EF8C">
      <w:start w:val="1"/>
      <w:numFmt w:val="bullet"/>
      <w:lvlText w:val=""/>
      <w:lvlJc w:val="left"/>
      <w:pPr>
        <w:ind w:left="2160" w:hanging="360"/>
      </w:pPr>
      <w:rPr>
        <w:rFonts w:ascii="Wingdings" w:hAnsi="Wingdings" w:hint="default"/>
      </w:rPr>
    </w:lvl>
    <w:lvl w:ilvl="3" w:tplc="84D459E4">
      <w:start w:val="1"/>
      <w:numFmt w:val="bullet"/>
      <w:lvlText w:val=""/>
      <w:lvlJc w:val="left"/>
      <w:pPr>
        <w:ind w:left="2880" w:hanging="360"/>
      </w:pPr>
      <w:rPr>
        <w:rFonts w:ascii="Symbol" w:hAnsi="Symbol" w:hint="default"/>
      </w:rPr>
    </w:lvl>
    <w:lvl w:ilvl="4" w:tplc="060094B4">
      <w:start w:val="1"/>
      <w:numFmt w:val="bullet"/>
      <w:lvlText w:val="o"/>
      <w:lvlJc w:val="left"/>
      <w:pPr>
        <w:ind w:left="3600" w:hanging="360"/>
      </w:pPr>
      <w:rPr>
        <w:rFonts w:ascii="Courier New" w:hAnsi="Courier New" w:hint="default"/>
      </w:rPr>
    </w:lvl>
    <w:lvl w:ilvl="5" w:tplc="6050395E">
      <w:start w:val="1"/>
      <w:numFmt w:val="bullet"/>
      <w:lvlText w:val=""/>
      <w:lvlJc w:val="left"/>
      <w:pPr>
        <w:ind w:left="4320" w:hanging="360"/>
      </w:pPr>
      <w:rPr>
        <w:rFonts w:ascii="Wingdings" w:hAnsi="Wingdings" w:hint="default"/>
      </w:rPr>
    </w:lvl>
    <w:lvl w:ilvl="6" w:tplc="40E2AF6E">
      <w:start w:val="1"/>
      <w:numFmt w:val="bullet"/>
      <w:lvlText w:val=""/>
      <w:lvlJc w:val="left"/>
      <w:pPr>
        <w:ind w:left="5040" w:hanging="360"/>
      </w:pPr>
      <w:rPr>
        <w:rFonts w:ascii="Symbol" w:hAnsi="Symbol" w:hint="default"/>
      </w:rPr>
    </w:lvl>
    <w:lvl w:ilvl="7" w:tplc="BE2C390C">
      <w:start w:val="1"/>
      <w:numFmt w:val="bullet"/>
      <w:lvlText w:val="o"/>
      <w:lvlJc w:val="left"/>
      <w:pPr>
        <w:ind w:left="5760" w:hanging="360"/>
      </w:pPr>
      <w:rPr>
        <w:rFonts w:ascii="Courier New" w:hAnsi="Courier New" w:hint="default"/>
      </w:rPr>
    </w:lvl>
    <w:lvl w:ilvl="8" w:tplc="014886A8">
      <w:start w:val="1"/>
      <w:numFmt w:val="bullet"/>
      <w:lvlText w:val=""/>
      <w:lvlJc w:val="left"/>
      <w:pPr>
        <w:ind w:left="6480" w:hanging="360"/>
      </w:pPr>
      <w:rPr>
        <w:rFonts w:ascii="Wingdings" w:hAnsi="Wingdings" w:hint="default"/>
      </w:rPr>
    </w:lvl>
  </w:abstractNum>
  <w:abstractNum w:abstractNumId="1" w15:restartNumberingAfterBreak="0">
    <w:nsid w:val="0DE826AE"/>
    <w:multiLevelType w:val="multilevel"/>
    <w:tmpl w:val="1AFC75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04963"/>
    <w:multiLevelType w:val="hybridMultilevel"/>
    <w:tmpl w:val="1D04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0159D"/>
    <w:multiLevelType w:val="hybridMultilevel"/>
    <w:tmpl w:val="D5E077C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4" w15:restartNumberingAfterBreak="0">
    <w:nsid w:val="2634448B"/>
    <w:multiLevelType w:val="hybridMultilevel"/>
    <w:tmpl w:val="60A6417A"/>
    <w:lvl w:ilvl="0" w:tplc="685AB7A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441C4"/>
    <w:multiLevelType w:val="hybridMultilevel"/>
    <w:tmpl w:val="E1561DFA"/>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C81096"/>
    <w:multiLevelType w:val="hybridMultilevel"/>
    <w:tmpl w:val="E5F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E5772"/>
    <w:multiLevelType w:val="multilevel"/>
    <w:tmpl w:val="D2360FA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val="0"/>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CC79DB"/>
    <w:multiLevelType w:val="multilevel"/>
    <w:tmpl w:val="3FC6F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52281B"/>
    <w:multiLevelType w:val="hybridMultilevel"/>
    <w:tmpl w:val="757440B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339E4"/>
    <w:multiLevelType w:val="hybridMultilevel"/>
    <w:tmpl w:val="1BCA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1FB80"/>
    <w:multiLevelType w:val="hybridMultilevel"/>
    <w:tmpl w:val="D180CDCC"/>
    <w:lvl w:ilvl="0" w:tplc="A3685014">
      <w:start w:val="1"/>
      <w:numFmt w:val="bullet"/>
      <w:lvlText w:val="·"/>
      <w:lvlJc w:val="left"/>
      <w:pPr>
        <w:ind w:left="720" w:hanging="360"/>
      </w:pPr>
      <w:rPr>
        <w:rFonts w:ascii="Symbol" w:hAnsi="Symbol" w:hint="default"/>
      </w:rPr>
    </w:lvl>
    <w:lvl w:ilvl="1" w:tplc="A2A8ACB6">
      <w:start w:val="1"/>
      <w:numFmt w:val="bullet"/>
      <w:lvlText w:val="o"/>
      <w:lvlJc w:val="left"/>
      <w:pPr>
        <w:ind w:left="1440" w:hanging="360"/>
      </w:pPr>
      <w:rPr>
        <w:rFonts w:ascii="Courier New" w:hAnsi="Courier New" w:hint="default"/>
      </w:rPr>
    </w:lvl>
    <w:lvl w:ilvl="2" w:tplc="4DF66DD0">
      <w:start w:val="1"/>
      <w:numFmt w:val="bullet"/>
      <w:lvlText w:val=""/>
      <w:lvlJc w:val="left"/>
      <w:pPr>
        <w:ind w:left="2160" w:hanging="360"/>
      </w:pPr>
      <w:rPr>
        <w:rFonts w:ascii="Wingdings" w:hAnsi="Wingdings" w:hint="default"/>
      </w:rPr>
    </w:lvl>
    <w:lvl w:ilvl="3" w:tplc="20FA8E12">
      <w:start w:val="1"/>
      <w:numFmt w:val="bullet"/>
      <w:lvlText w:val=""/>
      <w:lvlJc w:val="left"/>
      <w:pPr>
        <w:ind w:left="2880" w:hanging="360"/>
      </w:pPr>
      <w:rPr>
        <w:rFonts w:ascii="Symbol" w:hAnsi="Symbol" w:hint="default"/>
      </w:rPr>
    </w:lvl>
    <w:lvl w:ilvl="4" w:tplc="F108798A">
      <w:start w:val="1"/>
      <w:numFmt w:val="bullet"/>
      <w:lvlText w:val="o"/>
      <w:lvlJc w:val="left"/>
      <w:pPr>
        <w:ind w:left="3600" w:hanging="360"/>
      </w:pPr>
      <w:rPr>
        <w:rFonts w:ascii="Courier New" w:hAnsi="Courier New" w:hint="default"/>
      </w:rPr>
    </w:lvl>
    <w:lvl w:ilvl="5" w:tplc="26608EEA">
      <w:start w:val="1"/>
      <w:numFmt w:val="bullet"/>
      <w:lvlText w:val=""/>
      <w:lvlJc w:val="left"/>
      <w:pPr>
        <w:ind w:left="4320" w:hanging="360"/>
      </w:pPr>
      <w:rPr>
        <w:rFonts w:ascii="Wingdings" w:hAnsi="Wingdings" w:hint="default"/>
      </w:rPr>
    </w:lvl>
    <w:lvl w:ilvl="6" w:tplc="3BFA5A7E">
      <w:start w:val="1"/>
      <w:numFmt w:val="bullet"/>
      <w:lvlText w:val=""/>
      <w:lvlJc w:val="left"/>
      <w:pPr>
        <w:ind w:left="5040" w:hanging="360"/>
      </w:pPr>
      <w:rPr>
        <w:rFonts w:ascii="Symbol" w:hAnsi="Symbol" w:hint="default"/>
      </w:rPr>
    </w:lvl>
    <w:lvl w:ilvl="7" w:tplc="257C5D2C">
      <w:start w:val="1"/>
      <w:numFmt w:val="bullet"/>
      <w:lvlText w:val="o"/>
      <w:lvlJc w:val="left"/>
      <w:pPr>
        <w:ind w:left="5760" w:hanging="360"/>
      </w:pPr>
      <w:rPr>
        <w:rFonts w:ascii="Courier New" w:hAnsi="Courier New" w:hint="default"/>
      </w:rPr>
    </w:lvl>
    <w:lvl w:ilvl="8" w:tplc="FE8E4094">
      <w:start w:val="1"/>
      <w:numFmt w:val="bullet"/>
      <w:lvlText w:val=""/>
      <w:lvlJc w:val="left"/>
      <w:pPr>
        <w:ind w:left="6480" w:hanging="360"/>
      </w:pPr>
      <w:rPr>
        <w:rFonts w:ascii="Wingdings" w:hAnsi="Wingdings" w:hint="default"/>
      </w:rPr>
    </w:lvl>
  </w:abstractNum>
  <w:abstractNum w:abstractNumId="12" w15:restartNumberingAfterBreak="0">
    <w:nsid w:val="653C7C81"/>
    <w:multiLevelType w:val="hybridMultilevel"/>
    <w:tmpl w:val="7BB8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57012"/>
    <w:multiLevelType w:val="hybridMultilevel"/>
    <w:tmpl w:val="8158920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07875068">
    <w:abstractNumId w:val="0"/>
  </w:num>
  <w:num w:numId="2" w16cid:durableId="379986816">
    <w:abstractNumId w:val="11"/>
  </w:num>
  <w:num w:numId="3" w16cid:durableId="407265309">
    <w:abstractNumId w:val="7"/>
  </w:num>
  <w:num w:numId="4" w16cid:durableId="1683975152">
    <w:abstractNumId w:val="8"/>
  </w:num>
  <w:num w:numId="5" w16cid:durableId="273101981">
    <w:abstractNumId w:val="6"/>
  </w:num>
  <w:num w:numId="6" w16cid:durableId="1365793874">
    <w:abstractNumId w:val="5"/>
  </w:num>
  <w:num w:numId="7" w16cid:durableId="1175072824">
    <w:abstractNumId w:val="3"/>
  </w:num>
  <w:num w:numId="8" w16cid:durableId="580525573">
    <w:abstractNumId w:val="10"/>
  </w:num>
  <w:num w:numId="9" w16cid:durableId="301692211">
    <w:abstractNumId w:val="12"/>
  </w:num>
  <w:num w:numId="10" w16cid:durableId="1393502440">
    <w:abstractNumId w:val="2"/>
  </w:num>
  <w:num w:numId="11" w16cid:durableId="199906031">
    <w:abstractNumId w:val="1"/>
  </w:num>
  <w:num w:numId="12" w16cid:durableId="1840924969">
    <w:abstractNumId w:val="4"/>
  </w:num>
  <w:num w:numId="13" w16cid:durableId="903874995">
    <w:abstractNumId w:val="9"/>
  </w:num>
  <w:num w:numId="14" w16cid:durableId="114612046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A2"/>
    <w:rsid w:val="000013E8"/>
    <w:rsid w:val="0000420B"/>
    <w:rsid w:val="00004249"/>
    <w:rsid w:val="00006FE1"/>
    <w:rsid w:val="0001175C"/>
    <w:rsid w:val="00014CC2"/>
    <w:rsid w:val="0001644C"/>
    <w:rsid w:val="00016BF9"/>
    <w:rsid w:val="00017095"/>
    <w:rsid w:val="00017A6E"/>
    <w:rsid w:val="00017A99"/>
    <w:rsid w:val="000211BF"/>
    <w:rsid w:val="00024817"/>
    <w:rsid w:val="00025509"/>
    <w:rsid w:val="00027300"/>
    <w:rsid w:val="000305D0"/>
    <w:rsid w:val="00032417"/>
    <w:rsid w:val="00032ECC"/>
    <w:rsid w:val="000342C5"/>
    <w:rsid w:val="00034E35"/>
    <w:rsid w:val="00040770"/>
    <w:rsid w:val="00042068"/>
    <w:rsid w:val="00043649"/>
    <w:rsid w:val="00043DDF"/>
    <w:rsid w:val="00046774"/>
    <w:rsid w:val="00050684"/>
    <w:rsid w:val="00051A01"/>
    <w:rsid w:val="000521F6"/>
    <w:rsid w:val="000601A6"/>
    <w:rsid w:val="000601BA"/>
    <w:rsid w:val="00062419"/>
    <w:rsid w:val="00065A03"/>
    <w:rsid w:val="0006600F"/>
    <w:rsid w:val="00067BAA"/>
    <w:rsid w:val="00067C5C"/>
    <w:rsid w:val="000713D4"/>
    <w:rsid w:val="00074E12"/>
    <w:rsid w:val="00076621"/>
    <w:rsid w:val="00077049"/>
    <w:rsid w:val="00081970"/>
    <w:rsid w:val="00081C31"/>
    <w:rsid w:val="000821DF"/>
    <w:rsid w:val="00093F9B"/>
    <w:rsid w:val="000950BA"/>
    <w:rsid w:val="00096465"/>
    <w:rsid w:val="000A0A27"/>
    <w:rsid w:val="000B4632"/>
    <w:rsid w:val="000B4E49"/>
    <w:rsid w:val="000B545D"/>
    <w:rsid w:val="000B577D"/>
    <w:rsid w:val="000B5F57"/>
    <w:rsid w:val="000B67F1"/>
    <w:rsid w:val="000C09D5"/>
    <w:rsid w:val="000C3823"/>
    <w:rsid w:val="000C3D8A"/>
    <w:rsid w:val="000D2EA4"/>
    <w:rsid w:val="000D3264"/>
    <w:rsid w:val="000D3359"/>
    <w:rsid w:val="000D3508"/>
    <w:rsid w:val="000D42B8"/>
    <w:rsid w:val="000D435A"/>
    <w:rsid w:val="000D4C8A"/>
    <w:rsid w:val="000D5790"/>
    <w:rsid w:val="000D6AF5"/>
    <w:rsid w:val="000D7859"/>
    <w:rsid w:val="000E303C"/>
    <w:rsid w:val="000E5110"/>
    <w:rsid w:val="000F2913"/>
    <w:rsid w:val="000F2B1F"/>
    <w:rsid w:val="000F7706"/>
    <w:rsid w:val="000F7FA2"/>
    <w:rsid w:val="001028DD"/>
    <w:rsid w:val="0010319E"/>
    <w:rsid w:val="00105013"/>
    <w:rsid w:val="001108C9"/>
    <w:rsid w:val="00110C58"/>
    <w:rsid w:val="001110D7"/>
    <w:rsid w:val="0011490D"/>
    <w:rsid w:val="00115216"/>
    <w:rsid w:val="00115A80"/>
    <w:rsid w:val="00116FC5"/>
    <w:rsid w:val="00124308"/>
    <w:rsid w:val="00127B10"/>
    <w:rsid w:val="00130D79"/>
    <w:rsid w:val="0013127C"/>
    <w:rsid w:val="00132C17"/>
    <w:rsid w:val="00136B3C"/>
    <w:rsid w:val="00137AB0"/>
    <w:rsid w:val="0014022B"/>
    <w:rsid w:val="00140987"/>
    <w:rsid w:val="00142E88"/>
    <w:rsid w:val="00145947"/>
    <w:rsid w:val="001473D6"/>
    <w:rsid w:val="0014794C"/>
    <w:rsid w:val="00147BB9"/>
    <w:rsid w:val="00152185"/>
    <w:rsid w:val="00154CE3"/>
    <w:rsid w:val="00155A33"/>
    <w:rsid w:val="0015643C"/>
    <w:rsid w:val="00156870"/>
    <w:rsid w:val="00157E4C"/>
    <w:rsid w:val="00163DA7"/>
    <w:rsid w:val="00171F57"/>
    <w:rsid w:val="00173088"/>
    <w:rsid w:val="0017458A"/>
    <w:rsid w:val="00175A9D"/>
    <w:rsid w:val="00176E4E"/>
    <w:rsid w:val="00187F97"/>
    <w:rsid w:val="001902C3"/>
    <w:rsid w:val="00192E54"/>
    <w:rsid w:val="00192EFD"/>
    <w:rsid w:val="001B0557"/>
    <w:rsid w:val="001B0A7C"/>
    <w:rsid w:val="001B35CD"/>
    <w:rsid w:val="001B4F67"/>
    <w:rsid w:val="001B6CBA"/>
    <w:rsid w:val="001C4A7A"/>
    <w:rsid w:val="001C4AC5"/>
    <w:rsid w:val="001C6983"/>
    <w:rsid w:val="001C7649"/>
    <w:rsid w:val="001D26AF"/>
    <w:rsid w:val="001E06F1"/>
    <w:rsid w:val="001E247F"/>
    <w:rsid w:val="001E32E3"/>
    <w:rsid w:val="001E39D0"/>
    <w:rsid w:val="001E40F4"/>
    <w:rsid w:val="001E42EC"/>
    <w:rsid w:val="001E5967"/>
    <w:rsid w:val="001E5A38"/>
    <w:rsid w:val="001F1FD1"/>
    <w:rsid w:val="001F560F"/>
    <w:rsid w:val="001F5DB0"/>
    <w:rsid w:val="001F6960"/>
    <w:rsid w:val="002014DD"/>
    <w:rsid w:val="002049F3"/>
    <w:rsid w:val="0021001C"/>
    <w:rsid w:val="00210A33"/>
    <w:rsid w:val="00211684"/>
    <w:rsid w:val="00212F3A"/>
    <w:rsid w:val="00213C9C"/>
    <w:rsid w:val="0021504C"/>
    <w:rsid w:val="00217A04"/>
    <w:rsid w:val="00217DA5"/>
    <w:rsid w:val="00224CC6"/>
    <w:rsid w:val="00225244"/>
    <w:rsid w:val="002364B5"/>
    <w:rsid w:val="00237AF4"/>
    <w:rsid w:val="0024364E"/>
    <w:rsid w:val="0024608B"/>
    <w:rsid w:val="002466FB"/>
    <w:rsid w:val="00246F90"/>
    <w:rsid w:val="00250E1D"/>
    <w:rsid w:val="00252C9F"/>
    <w:rsid w:val="0025339A"/>
    <w:rsid w:val="00255FE6"/>
    <w:rsid w:val="00256A45"/>
    <w:rsid w:val="0026057F"/>
    <w:rsid w:val="002605A6"/>
    <w:rsid w:val="002643C4"/>
    <w:rsid w:val="00264F4C"/>
    <w:rsid w:val="00267DE0"/>
    <w:rsid w:val="0027408A"/>
    <w:rsid w:val="00274B10"/>
    <w:rsid w:val="0027632B"/>
    <w:rsid w:val="00276B9C"/>
    <w:rsid w:val="00280B4C"/>
    <w:rsid w:val="00282C89"/>
    <w:rsid w:val="00283AA0"/>
    <w:rsid w:val="00286F29"/>
    <w:rsid w:val="00290FCF"/>
    <w:rsid w:val="00292135"/>
    <w:rsid w:val="00296E47"/>
    <w:rsid w:val="00297021"/>
    <w:rsid w:val="002A572B"/>
    <w:rsid w:val="002C2430"/>
    <w:rsid w:val="002D25CD"/>
    <w:rsid w:val="002D29D2"/>
    <w:rsid w:val="002E0A65"/>
    <w:rsid w:val="002E394D"/>
    <w:rsid w:val="002F2828"/>
    <w:rsid w:val="002F2F97"/>
    <w:rsid w:val="002F66EC"/>
    <w:rsid w:val="002F72B1"/>
    <w:rsid w:val="003029FC"/>
    <w:rsid w:val="00304046"/>
    <w:rsid w:val="003072E4"/>
    <w:rsid w:val="0031483E"/>
    <w:rsid w:val="003155BD"/>
    <w:rsid w:val="00315F51"/>
    <w:rsid w:val="0031641F"/>
    <w:rsid w:val="003179CF"/>
    <w:rsid w:val="00321CBE"/>
    <w:rsid w:val="00323D3D"/>
    <w:rsid w:val="0032540F"/>
    <w:rsid w:val="00325E03"/>
    <w:rsid w:val="003266EC"/>
    <w:rsid w:val="00326DEC"/>
    <w:rsid w:val="00326E03"/>
    <w:rsid w:val="003274D6"/>
    <w:rsid w:val="00330432"/>
    <w:rsid w:val="0033071A"/>
    <w:rsid w:val="00330D24"/>
    <w:rsid w:val="00331A13"/>
    <w:rsid w:val="00333E83"/>
    <w:rsid w:val="00337E0C"/>
    <w:rsid w:val="00344579"/>
    <w:rsid w:val="003503E2"/>
    <w:rsid w:val="0035234D"/>
    <w:rsid w:val="003525DD"/>
    <w:rsid w:val="003548F1"/>
    <w:rsid w:val="00354FB0"/>
    <w:rsid w:val="00355298"/>
    <w:rsid w:val="00356BCC"/>
    <w:rsid w:val="00357DA9"/>
    <w:rsid w:val="003607A2"/>
    <w:rsid w:val="0036401D"/>
    <w:rsid w:val="00364136"/>
    <w:rsid w:val="003650A8"/>
    <w:rsid w:val="00373570"/>
    <w:rsid w:val="00374560"/>
    <w:rsid w:val="00375B0B"/>
    <w:rsid w:val="00377EC2"/>
    <w:rsid w:val="00385F24"/>
    <w:rsid w:val="00391C06"/>
    <w:rsid w:val="003A257B"/>
    <w:rsid w:val="003A3803"/>
    <w:rsid w:val="003B2358"/>
    <w:rsid w:val="003B5A16"/>
    <w:rsid w:val="003B7BDB"/>
    <w:rsid w:val="003C2A68"/>
    <w:rsid w:val="003C79A7"/>
    <w:rsid w:val="003D2927"/>
    <w:rsid w:val="003D527F"/>
    <w:rsid w:val="003D6623"/>
    <w:rsid w:val="003D7DA2"/>
    <w:rsid w:val="003D7F6B"/>
    <w:rsid w:val="003E0C45"/>
    <w:rsid w:val="003E124F"/>
    <w:rsid w:val="003E18A2"/>
    <w:rsid w:val="003E37A0"/>
    <w:rsid w:val="003E3A54"/>
    <w:rsid w:val="003E58AD"/>
    <w:rsid w:val="003F02B4"/>
    <w:rsid w:val="003F586A"/>
    <w:rsid w:val="003F624A"/>
    <w:rsid w:val="00402C7B"/>
    <w:rsid w:val="00405B5C"/>
    <w:rsid w:val="00406EAE"/>
    <w:rsid w:val="00407B59"/>
    <w:rsid w:val="004132B0"/>
    <w:rsid w:val="0041454B"/>
    <w:rsid w:val="00415A21"/>
    <w:rsid w:val="00422AA7"/>
    <w:rsid w:val="004230B0"/>
    <w:rsid w:val="0043068D"/>
    <w:rsid w:val="00430D6A"/>
    <w:rsid w:val="00433961"/>
    <w:rsid w:val="004359B5"/>
    <w:rsid w:val="00436D63"/>
    <w:rsid w:val="00440F95"/>
    <w:rsid w:val="00444D97"/>
    <w:rsid w:val="004463F8"/>
    <w:rsid w:val="00446F1C"/>
    <w:rsid w:val="00453832"/>
    <w:rsid w:val="00456782"/>
    <w:rsid w:val="004606AF"/>
    <w:rsid w:val="00461DED"/>
    <w:rsid w:val="00462130"/>
    <w:rsid w:val="0046484A"/>
    <w:rsid w:val="0046782D"/>
    <w:rsid w:val="0047319C"/>
    <w:rsid w:val="00475B54"/>
    <w:rsid w:val="004766C3"/>
    <w:rsid w:val="0048039C"/>
    <w:rsid w:val="00480889"/>
    <w:rsid w:val="0048409A"/>
    <w:rsid w:val="0048434A"/>
    <w:rsid w:val="00484736"/>
    <w:rsid w:val="004908DE"/>
    <w:rsid w:val="004A044D"/>
    <w:rsid w:val="004A11D1"/>
    <w:rsid w:val="004A1D05"/>
    <w:rsid w:val="004A7602"/>
    <w:rsid w:val="004B3D42"/>
    <w:rsid w:val="004B5AD2"/>
    <w:rsid w:val="004B63DA"/>
    <w:rsid w:val="004C0BCE"/>
    <w:rsid w:val="004C35F8"/>
    <w:rsid w:val="004C5ABE"/>
    <w:rsid w:val="004C7B59"/>
    <w:rsid w:val="004D0E03"/>
    <w:rsid w:val="004D16E9"/>
    <w:rsid w:val="004D269E"/>
    <w:rsid w:val="004D2981"/>
    <w:rsid w:val="004D41D0"/>
    <w:rsid w:val="004D54FA"/>
    <w:rsid w:val="004E39A7"/>
    <w:rsid w:val="004E5155"/>
    <w:rsid w:val="004E5CCB"/>
    <w:rsid w:val="004E5DF4"/>
    <w:rsid w:val="004E6E25"/>
    <w:rsid w:val="004F6362"/>
    <w:rsid w:val="00504500"/>
    <w:rsid w:val="0050477F"/>
    <w:rsid w:val="00505C80"/>
    <w:rsid w:val="0050707F"/>
    <w:rsid w:val="005121F8"/>
    <w:rsid w:val="0051278B"/>
    <w:rsid w:val="00517EA6"/>
    <w:rsid w:val="005200E3"/>
    <w:rsid w:val="00521B08"/>
    <w:rsid w:val="00522FEB"/>
    <w:rsid w:val="005233FB"/>
    <w:rsid w:val="005237AA"/>
    <w:rsid w:val="00523D99"/>
    <w:rsid w:val="00524401"/>
    <w:rsid w:val="00524CED"/>
    <w:rsid w:val="0052658E"/>
    <w:rsid w:val="005319E4"/>
    <w:rsid w:val="00534015"/>
    <w:rsid w:val="00536D5C"/>
    <w:rsid w:val="005530FE"/>
    <w:rsid w:val="00553F62"/>
    <w:rsid w:val="005551EE"/>
    <w:rsid w:val="00555343"/>
    <w:rsid w:val="00556C35"/>
    <w:rsid w:val="00561B50"/>
    <w:rsid w:val="00564648"/>
    <w:rsid w:val="00564A70"/>
    <w:rsid w:val="00573877"/>
    <w:rsid w:val="005827E8"/>
    <w:rsid w:val="00582E3D"/>
    <w:rsid w:val="00584F7C"/>
    <w:rsid w:val="00586CE7"/>
    <w:rsid w:val="00591D88"/>
    <w:rsid w:val="00592332"/>
    <w:rsid w:val="00592881"/>
    <w:rsid w:val="005A0027"/>
    <w:rsid w:val="005A0E82"/>
    <w:rsid w:val="005A5B75"/>
    <w:rsid w:val="005A5CD9"/>
    <w:rsid w:val="005B1A70"/>
    <w:rsid w:val="005B3F97"/>
    <w:rsid w:val="005B5CE5"/>
    <w:rsid w:val="005C203B"/>
    <w:rsid w:val="005C346D"/>
    <w:rsid w:val="005C34DA"/>
    <w:rsid w:val="005C6A1B"/>
    <w:rsid w:val="005D294A"/>
    <w:rsid w:val="005D5F28"/>
    <w:rsid w:val="005D6D3E"/>
    <w:rsid w:val="005E1979"/>
    <w:rsid w:val="005E2975"/>
    <w:rsid w:val="005E4042"/>
    <w:rsid w:val="005E40CB"/>
    <w:rsid w:val="005E40D7"/>
    <w:rsid w:val="005F2F9A"/>
    <w:rsid w:val="005F3452"/>
    <w:rsid w:val="00602094"/>
    <w:rsid w:val="006036E3"/>
    <w:rsid w:val="00605CF1"/>
    <w:rsid w:val="00606F78"/>
    <w:rsid w:val="00606F92"/>
    <w:rsid w:val="00607DCA"/>
    <w:rsid w:val="00611675"/>
    <w:rsid w:val="00612DD2"/>
    <w:rsid w:val="00616B09"/>
    <w:rsid w:val="0062315D"/>
    <w:rsid w:val="00623453"/>
    <w:rsid w:val="006344C7"/>
    <w:rsid w:val="00634588"/>
    <w:rsid w:val="00635C52"/>
    <w:rsid w:val="00635DD7"/>
    <w:rsid w:val="00637B82"/>
    <w:rsid w:val="00640803"/>
    <w:rsid w:val="00646529"/>
    <w:rsid w:val="006522D2"/>
    <w:rsid w:val="00652D74"/>
    <w:rsid w:val="006570C9"/>
    <w:rsid w:val="00663BBA"/>
    <w:rsid w:val="0066510F"/>
    <w:rsid w:val="00665388"/>
    <w:rsid w:val="00665842"/>
    <w:rsid w:val="00676F6C"/>
    <w:rsid w:val="006808FE"/>
    <w:rsid w:val="00680CF1"/>
    <w:rsid w:val="006832FC"/>
    <w:rsid w:val="0068376D"/>
    <w:rsid w:val="00686720"/>
    <w:rsid w:val="00687652"/>
    <w:rsid w:val="00687E4E"/>
    <w:rsid w:val="00687F3D"/>
    <w:rsid w:val="00692ACE"/>
    <w:rsid w:val="00697E27"/>
    <w:rsid w:val="006A1948"/>
    <w:rsid w:val="006A2AB8"/>
    <w:rsid w:val="006A3564"/>
    <w:rsid w:val="006A629F"/>
    <w:rsid w:val="006B3C5F"/>
    <w:rsid w:val="006B3DF4"/>
    <w:rsid w:val="006B7ED9"/>
    <w:rsid w:val="006C2DBA"/>
    <w:rsid w:val="006D15CB"/>
    <w:rsid w:val="006D2491"/>
    <w:rsid w:val="006D2BBB"/>
    <w:rsid w:val="006D324B"/>
    <w:rsid w:val="006D3F72"/>
    <w:rsid w:val="006D595D"/>
    <w:rsid w:val="006D60E6"/>
    <w:rsid w:val="006D6E79"/>
    <w:rsid w:val="006E1292"/>
    <w:rsid w:val="006E1762"/>
    <w:rsid w:val="006F278B"/>
    <w:rsid w:val="006F4FC8"/>
    <w:rsid w:val="006F7B5E"/>
    <w:rsid w:val="00701ACE"/>
    <w:rsid w:val="00703287"/>
    <w:rsid w:val="007049AA"/>
    <w:rsid w:val="007051AA"/>
    <w:rsid w:val="007075A2"/>
    <w:rsid w:val="00707B8D"/>
    <w:rsid w:val="007104D0"/>
    <w:rsid w:val="0071772D"/>
    <w:rsid w:val="007212F9"/>
    <w:rsid w:val="007247F3"/>
    <w:rsid w:val="00725740"/>
    <w:rsid w:val="00725BF0"/>
    <w:rsid w:val="00733934"/>
    <w:rsid w:val="00736318"/>
    <w:rsid w:val="007363F1"/>
    <w:rsid w:val="007370F7"/>
    <w:rsid w:val="00737BA6"/>
    <w:rsid w:val="00740BB3"/>
    <w:rsid w:val="00741507"/>
    <w:rsid w:val="00743B7F"/>
    <w:rsid w:val="00745069"/>
    <w:rsid w:val="00745BAB"/>
    <w:rsid w:val="00745F07"/>
    <w:rsid w:val="00746346"/>
    <w:rsid w:val="0074767D"/>
    <w:rsid w:val="00747880"/>
    <w:rsid w:val="007518A8"/>
    <w:rsid w:val="00751AB0"/>
    <w:rsid w:val="00756331"/>
    <w:rsid w:val="0076042A"/>
    <w:rsid w:val="007623A6"/>
    <w:rsid w:val="00772098"/>
    <w:rsid w:val="00776AD7"/>
    <w:rsid w:val="00777149"/>
    <w:rsid w:val="00777E8F"/>
    <w:rsid w:val="0078316F"/>
    <w:rsid w:val="00784CAB"/>
    <w:rsid w:val="00787ADF"/>
    <w:rsid w:val="0079050D"/>
    <w:rsid w:val="00793F84"/>
    <w:rsid w:val="00796125"/>
    <w:rsid w:val="007A1A66"/>
    <w:rsid w:val="007A2DD1"/>
    <w:rsid w:val="007A4142"/>
    <w:rsid w:val="007A63A3"/>
    <w:rsid w:val="007A7166"/>
    <w:rsid w:val="007A77B7"/>
    <w:rsid w:val="007A7E5A"/>
    <w:rsid w:val="007B3C6D"/>
    <w:rsid w:val="007B78C6"/>
    <w:rsid w:val="007B7A1B"/>
    <w:rsid w:val="007C1215"/>
    <w:rsid w:val="007C13D9"/>
    <w:rsid w:val="007C2E11"/>
    <w:rsid w:val="007C37DC"/>
    <w:rsid w:val="007C3820"/>
    <w:rsid w:val="007C40C0"/>
    <w:rsid w:val="007C7FE5"/>
    <w:rsid w:val="007D0A0B"/>
    <w:rsid w:val="007D4BEE"/>
    <w:rsid w:val="007D684A"/>
    <w:rsid w:val="007D6BDD"/>
    <w:rsid w:val="007E1774"/>
    <w:rsid w:val="007F1E9D"/>
    <w:rsid w:val="00800B5C"/>
    <w:rsid w:val="00801CEF"/>
    <w:rsid w:val="00802398"/>
    <w:rsid w:val="00806D42"/>
    <w:rsid w:val="00807BB3"/>
    <w:rsid w:val="00820A77"/>
    <w:rsid w:val="0082114B"/>
    <w:rsid w:val="00823207"/>
    <w:rsid w:val="00825285"/>
    <w:rsid w:val="00825384"/>
    <w:rsid w:val="00826507"/>
    <w:rsid w:val="00830B27"/>
    <w:rsid w:val="0083115C"/>
    <w:rsid w:val="00833114"/>
    <w:rsid w:val="00835715"/>
    <w:rsid w:val="008400A1"/>
    <w:rsid w:val="0084129A"/>
    <w:rsid w:val="00843B4D"/>
    <w:rsid w:val="00844532"/>
    <w:rsid w:val="00844FF1"/>
    <w:rsid w:val="00851FBE"/>
    <w:rsid w:val="00852279"/>
    <w:rsid w:val="008607EB"/>
    <w:rsid w:val="008608DF"/>
    <w:rsid w:val="0086239F"/>
    <w:rsid w:val="0086759F"/>
    <w:rsid w:val="00867875"/>
    <w:rsid w:val="00872A02"/>
    <w:rsid w:val="00875735"/>
    <w:rsid w:val="0087599C"/>
    <w:rsid w:val="00880D5E"/>
    <w:rsid w:val="0088286B"/>
    <w:rsid w:val="0088455C"/>
    <w:rsid w:val="00893E77"/>
    <w:rsid w:val="00895ED2"/>
    <w:rsid w:val="00897B2B"/>
    <w:rsid w:val="008A19D2"/>
    <w:rsid w:val="008A330A"/>
    <w:rsid w:val="008A6065"/>
    <w:rsid w:val="008B0D7E"/>
    <w:rsid w:val="008B0F91"/>
    <w:rsid w:val="008B5C1C"/>
    <w:rsid w:val="008B6BE7"/>
    <w:rsid w:val="008B7FBB"/>
    <w:rsid w:val="008C1D06"/>
    <w:rsid w:val="008C35CB"/>
    <w:rsid w:val="008C3988"/>
    <w:rsid w:val="008C56F3"/>
    <w:rsid w:val="008C5A9C"/>
    <w:rsid w:val="008C5AED"/>
    <w:rsid w:val="008C5B79"/>
    <w:rsid w:val="008C5EFB"/>
    <w:rsid w:val="008D00A3"/>
    <w:rsid w:val="008D2DC7"/>
    <w:rsid w:val="008D359B"/>
    <w:rsid w:val="008D44B3"/>
    <w:rsid w:val="008D5695"/>
    <w:rsid w:val="008D745E"/>
    <w:rsid w:val="008E1E92"/>
    <w:rsid w:val="008E20FB"/>
    <w:rsid w:val="008E2B4B"/>
    <w:rsid w:val="008E5F5A"/>
    <w:rsid w:val="008E77A5"/>
    <w:rsid w:val="008F0C4C"/>
    <w:rsid w:val="008F7C30"/>
    <w:rsid w:val="00900076"/>
    <w:rsid w:val="00900E34"/>
    <w:rsid w:val="00901836"/>
    <w:rsid w:val="009044E2"/>
    <w:rsid w:val="00906595"/>
    <w:rsid w:val="00907314"/>
    <w:rsid w:val="009111A4"/>
    <w:rsid w:val="00911312"/>
    <w:rsid w:val="00913F3E"/>
    <w:rsid w:val="00920190"/>
    <w:rsid w:val="00923397"/>
    <w:rsid w:val="00924811"/>
    <w:rsid w:val="009321BA"/>
    <w:rsid w:val="009323CC"/>
    <w:rsid w:val="00933ECD"/>
    <w:rsid w:val="00937ED8"/>
    <w:rsid w:val="00940B20"/>
    <w:rsid w:val="00940E51"/>
    <w:rsid w:val="009411A1"/>
    <w:rsid w:val="00941865"/>
    <w:rsid w:val="00941BA6"/>
    <w:rsid w:val="009441D3"/>
    <w:rsid w:val="00944B4A"/>
    <w:rsid w:val="00945CC2"/>
    <w:rsid w:val="00946A56"/>
    <w:rsid w:val="00946F46"/>
    <w:rsid w:val="009519ED"/>
    <w:rsid w:val="00952023"/>
    <w:rsid w:val="00952E0C"/>
    <w:rsid w:val="009542D2"/>
    <w:rsid w:val="00955988"/>
    <w:rsid w:val="00955CC6"/>
    <w:rsid w:val="00955FDA"/>
    <w:rsid w:val="00956B26"/>
    <w:rsid w:val="00957E61"/>
    <w:rsid w:val="00960143"/>
    <w:rsid w:val="00960578"/>
    <w:rsid w:val="00961A3A"/>
    <w:rsid w:val="00962458"/>
    <w:rsid w:val="009635F1"/>
    <w:rsid w:val="0096379A"/>
    <w:rsid w:val="009726DF"/>
    <w:rsid w:val="00981338"/>
    <w:rsid w:val="009826CC"/>
    <w:rsid w:val="009902E8"/>
    <w:rsid w:val="009A06FC"/>
    <w:rsid w:val="009A6963"/>
    <w:rsid w:val="009A6998"/>
    <w:rsid w:val="009A72AC"/>
    <w:rsid w:val="009A7592"/>
    <w:rsid w:val="009B51F6"/>
    <w:rsid w:val="009C4185"/>
    <w:rsid w:val="009D03DC"/>
    <w:rsid w:val="009D20A0"/>
    <w:rsid w:val="009D2459"/>
    <w:rsid w:val="009D2FBC"/>
    <w:rsid w:val="009D57B2"/>
    <w:rsid w:val="009D70BD"/>
    <w:rsid w:val="009E3033"/>
    <w:rsid w:val="009E6D7F"/>
    <w:rsid w:val="009E7070"/>
    <w:rsid w:val="009E739B"/>
    <w:rsid w:val="009F557B"/>
    <w:rsid w:val="009F732F"/>
    <w:rsid w:val="00A00947"/>
    <w:rsid w:val="00A02750"/>
    <w:rsid w:val="00A12D74"/>
    <w:rsid w:val="00A158E8"/>
    <w:rsid w:val="00A179C1"/>
    <w:rsid w:val="00A20005"/>
    <w:rsid w:val="00A252DE"/>
    <w:rsid w:val="00A31501"/>
    <w:rsid w:val="00A3179F"/>
    <w:rsid w:val="00A3204D"/>
    <w:rsid w:val="00A33CEE"/>
    <w:rsid w:val="00A42447"/>
    <w:rsid w:val="00A42EB5"/>
    <w:rsid w:val="00A43354"/>
    <w:rsid w:val="00A43582"/>
    <w:rsid w:val="00A4490A"/>
    <w:rsid w:val="00A44C6C"/>
    <w:rsid w:val="00A45271"/>
    <w:rsid w:val="00A46492"/>
    <w:rsid w:val="00A4760B"/>
    <w:rsid w:val="00A47B17"/>
    <w:rsid w:val="00A50358"/>
    <w:rsid w:val="00A528B1"/>
    <w:rsid w:val="00A5515F"/>
    <w:rsid w:val="00A57129"/>
    <w:rsid w:val="00A66151"/>
    <w:rsid w:val="00A669E1"/>
    <w:rsid w:val="00A6764A"/>
    <w:rsid w:val="00A81FAD"/>
    <w:rsid w:val="00A82DB8"/>
    <w:rsid w:val="00A82FDE"/>
    <w:rsid w:val="00A84024"/>
    <w:rsid w:val="00A85BC6"/>
    <w:rsid w:val="00A8752B"/>
    <w:rsid w:val="00A87BC5"/>
    <w:rsid w:val="00A90EC5"/>
    <w:rsid w:val="00A910EE"/>
    <w:rsid w:val="00A9226B"/>
    <w:rsid w:val="00A9575D"/>
    <w:rsid w:val="00AA0EB7"/>
    <w:rsid w:val="00AA1C70"/>
    <w:rsid w:val="00AA28D0"/>
    <w:rsid w:val="00AA449C"/>
    <w:rsid w:val="00AA70A4"/>
    <w:rsid w:val="00AB0A22"/>
    <w:rsid w:val="00AB1918"/>
    <w:rsid w:val="00AB2E4C"/>
    <w:rsid w:val="00AB56A7"/>
    <w:rsid w:val="00AB5D78"/>
    <w:rsid w:val="00AC04DA"/>
    <w:rsid w:val="00AC387B"/>
    <w:rsid w:val="00AC42F2"/>
    <w:rsid w:val="00AC4BC4"/>
    <w:rsid w:val="00AC6E2B"/>
    <w:rsid w:val="00AD36F5"/>
    <w:rsid w:val="00AD7C31"/>
    <w:rsid w:val="00AD7FF9"/>
    <w:rsid w:val="00AE02BC"/>
    <w:rsid w:val="00AE5101"/>
    <w:rsid w:val="00AE5143"/>
    <w:rsid w:val="00AF0268"/>
    <w:rsid w:val="00AF2605"/>
    <w:rsid w:val="00B05824"/>
    <w:rsid w:val="00B1438B"/>
    <w:rsid w:val="00B15253"/>
    <w:rsid w:val="00B17CD1"/>
    <w:rsid w:val="00B20C5D"/>
    <w:rsid w:val="00B20DB2"/>
    <w:rsid w:val="00B22281"/>
    <w:rsid w:val="00B2647F"/>
    <w:rsid w:val="00B2776F"/>
    <w:rsid w:val="00B31B6D"/>
    <w:rsid w:val="00B40432"/>
    <w:rsid w:val="00B40D8D"/>
    <w:rsid w:val="00B42F5F"/>
    <w:rsid w:val="00B449CC"/>
    <w:rsid w:val="00B52607"/>
    <w:rsid w:val="00B53A85"/>
    <w:rsid w:val="00B57D6B"/>
    <w:rsid w:val="00B65153"/>
    <w:rsid w:val="00B6792A"/>
    <w:rsid w:val="00B67EFA"/>
    <w:rsid w:val="00B67F2A"/>
    <w:rsid w:val="00B70BFA"/>
    <w:rsid w:val="00B76404"/>
    <w:rsid w:val="00B7742D"/>
    <w:rsid w:val="00B81AB8"/>
    <w:rsid w:val="00B8466C"/>
    <w:rsid w:val="00B8542B"/>
    <w:rsid w:val="00B876DB"/>
    <w:rsid w:val="00B876DC"/>
    <w:rsid w:val="00B91BA2"/>
    <w:rsid w:val="00B95570"/>
    <w:rsid w:val="00B9780B"/>
    <w:rsid w:val="00BA09D3"/>
    <w:rsid w:val="00BA5006"/>
    <w:rsid w:val="00BB19EB"/>
    <w:rsid w:val="00BB2BA1"/>
    <w:rsid w:val="00BB30F7"/>
    <w:rsid w:val="00BB6D38"/>
    <w:rsid w:val="00BB7409"/>
    <w:rsid w:val="00BC2447"/>
    <w:rsid w:val="00BC26C0"/>
    <w:rsid w:val="00BC3FEA"/>
    <w:rsid w:val="00BC584A"/>
    <w:rsid w:val="00BD0359"/>
    <w:rsid w:val="00BD156D"/>
    <w:rsid w:val="00BD352F"/>
    <w:rsid w:val="00BE098C"/>
    <w:rsid w:val="00BE1479"/>
    <w:rsid w:val="00BE24B7"/>
    <w:rsid w:val="00BE35A5"/>
    <w:rsid w:val="00BE4C86"/>
    <w:rsid w:val="00BE5485"/>
    <w:rsid w:val="00BE646B"/>
    <w:rsid w:val="00BE6EE0"/>
    <w:rsid w:val="00BE771F"/>
    <w:rsid w:val="00BE7B75"/>
    <w:rsid w:val="00BF17A1"/>
    <w:rsid w:val="00BF2B29"/>
    <w:rsid w:val="00BF40DD"/>
    <w:rsid w:val="00BF50C2"/>
    <w:rsid w:val="00BF693F"/>
    <w:rsid w:val="00C00215"/>
    <w:rsid w:val="00C005EA"/>
    <w:rsid w:val="00C022ED"/>
    <w:rsid w:val="00C02DF4"/>
    <w:rsid w:val="00C04DE1"/>
    <w:rsid w:val="00C059FC"/>
    <w:rsid w:val="00C065C0"/>
    <w:rsid w:val="00C079D6"/>
    <w:rsid w:val="00C07A0F"/>
    <w:rsid w:val="00C10809"/>
    <w:rsid w:val="00C1142C"/>
    <w:rsid w:val="00C11605"/>
    <w:rsid w:val="00C1254B"/>
    <w:rsid w:val="00C12AAE"/>
    <w:rsid w:val="00C13A19"/>
    <w:rsid w:val="00C157BC"/>
    <w:rsid w:val="00C2092C"/>
    <w:rsid w:val="00C22408"/>
    <w:rsid w:val="00C22642"/>
    <w:rsid w:val="00C25424"/>
    <w:rsid w:val="00C27649"/>
    <w:rsid w:val="00C30886"/>
    <w:rsid w:val="00C34371"/>
    <w:rsid w:val="00C37D74"/>
    <w:rsid w:val="00C37F74"/>
    <w:rsid w:val="00C41770"/>
    <w:rsid w:val="00C43565"/>
    <w:rsid w:val="00C43CD9"/>
    <w:rsid w:val="00C46149"/>
    <w:rsid w:val="00C505DF"/>
    <w:rsid w:val="00C51C79"/>
    <w:rsid w:val="00C52CE9"/>
    <w:rsid w:val="00C53A72"/>
    <w:rsid w:val="00C53F62"/>
    <w:rsid w:val="00C6240A"/>
    <w:rsid w:val="00C6365B"/>
    <w:rsid w:val="00C64E5B"/>
    <w:rsid w:val="00C655A2"/>
    <w:rsid w:val="00C70B7F"/>
    <w:rsid w:val="00C72C9D"/>
    <w:rsid w:val="00C72DE6"/>
    <w:rsid w:val="00C74580"/>
    <w:rsid w:val="00C8432C"/>
    <w:rsid w:val="00C84CE3"/>
    <w:rsid w:val="00C84F18"/>
    <w:rsid w:val="00C87882"/>
    <w:rsid w:val="00C9241E"/>
    <w:rsid w:val="00C97C38"/>
    <w:rsid w:val="00CA3E67"/>
    <w:rsid w:val="00CA6B88"/>
    <w:rsid w:val="00CA74B7"/>
    <w:rsid w:val="00CB2026"/>
    <w:rsid w:val="00CB2862"/>
    <w:rsid w:val="00CC0484"/>
    <w:rsid w:val="00CC191B"/>
    <w:rsid w:val="00CC36FE"/>
    <w:rsid w:val="00CC3CE9"/>
    <w:rsid w:val="00CC41F4"/>
    <w:rsid w:val="00CC6151"/>
    <w:rsid w:val="00CD19BD"/>
    <w:rsid w:val="00CD1C20"/>
    <w:rsid w:val="00CD3377"/>
    <w:rsid w:val="00CD4F6D"/>
    <w:rsid w:val="00CE4C06"/>
    <w:rsid w:val="00CF0641"/>
    <w:rsid w:val="00CF4F9C"/>
    <w:rsid w:val="00CF5EAD"/>
    <w:rsid w:val="00D03D97"/>
    <w:rsid w:val="00D04181"/>
    <w:rsid w:val="00D04F6C"/>
    <w:rsid w:val="00D07434"/>
    <w:rsid w:val="00D10891"/>
    <w:rsid w:val="00D1142A"/>
    <w:rsid w:val="00D16012"/>
    <w:rsid w:val="00D17766"/>
    <w:rsid w:val="00D17851"/>
    <w:rsid w:val="00D21C65"/>
    <w:rsid w:val="00D2240B"/>
    <w:rsid w:val="00D253E8"/>
    <w:rsid w:val="00D3022A"/>
    <w:rsid w:val="00D35C32"/>
    <w:rsid w:val="00D360C6"/>
    <w:rsid w:val="00D36682"/>
    <w:rsid w:val="00D4057D"/>
    <w:rsid w:val="00D44EFF"/>
    <w:rsid w:val="00D47166"/>
    <w:rsid w:val="00D54426"/>
    <w:rsid w:val="00D56793"/>
    <w:rsid w:val="00D570BB"/>
    <w:rsid w:val="00D63AAA"/>
    <w:rsid w:val="00D64E8F"/>
    <w:rsid w:val="00D6663F"/>
    <w:rsid w:val="00D66F9D"/>
    <w:rsid w:val="00D6730B"/>
    <w:rsid w:val="00D726A0"/>
    <w:rsid w:val="00D72847"/>
    <w:rsid w:val="00D73DBB"/>
    <w:rsid w:val="00D75540"/>
    <w:rsid w:val="00D75C9F"/>
    <w:rsid w:val="00D8054A"/>
    <w:rsid w:val="00D81C15"/>
    <w:rsid w:val="00D84393"/>
    <w:rsid w:val="00D851E2"/>
    <w:rsid w:val="00D86B71"/>
    <w:rsid w:val="00D91883"/>
    <w:rsid w:val="00D938F3"/>
    <w:rsid w:val="00D9648B"/>
    <w:rsid w:val="00DA3D42"/>
    <w:rsid w:val="00DA5621"/>
    <w:rsid w:val="00DA5F63"/>
    <w:rsid w:val="00DA7BB7"/>
    <w:rsid w:val="00DB0DA5"/>
    <w:rsid w:val="00DB10DB"/>
    <w:rsid w:val="00DB491B"/>
    <w:rsid w:val="00DB5417"/>
    <w:rsid w:val="00DB548F"/>
    <w:rsid w:val="00DB5F09"/>
    <w:rsid w:val="00DB640A"/>
    <w:rsid w:val="00DB7518"/>
    <w:rsid w:val="00DC1271"/>
    <w:rsid w:val="00DC7939"/>
    <w:rsid w:val="00DD07AE"/>
    <w:rsid w:val="00DD2B24"/>
    <w:rsid w:val="00DD2B86"/>
    <w:rsid w:val="00DD37A9"/>
    <w:rsid w:val="00DD4EF1"/>
    <w:rsid w:val="00DD794E"/>
    <w:rsid w:val="00DE35BA"/>
    <w:rsid w:val="00DE3E37"/>
    <w:rsid w:val="00DE4E50"/>
    <w:rsid w:val="00DF07E3"/>
    <w:rsid w:val="00DF1DF4"/>
    <w:rsid w:val="00DF54A6"/>
    <w:rsid w:val="00DF6A05"/>
    <w:rsid w:val="00E00284"/>
    <w:rsid w:val="00E058F0"/>
    <w:rsid w:val="00E06F07"/>
    <w:rsid w:val="00E11CC6"/>
    <w:rsid w:val="00E12859"/>
    <w:rsid w:val="00E12FB0"/>
    <w:rsid w:val="00E13002"/>
    <w:rsid w:val="00E16D07"/>
    <w:rsid w:val="00E20F9C"/>
    <w:rsid w:val="00E22E8C"/>
    <w:rsid w:val="00E23E4C"/>
    <w:rsid w:val="00E24974"/>
    <w:rsid w:val="00E25C48"/>
    <w:rsid w:val="00E27BEF"/>
    <w:rsid w:val="00E30703"/>
    <w:rsid w:val="00E32A7E"/>
    <w:rsid w:val="00E3479E"/>
    <w:rsid w:val="00E404E2"/>
    <w:rsid w:val="00E41ACC"/>
    <w:rsid w:val="00E4456D"/>
    <w:rsid w:val="00E50700"/>
    <w:rsid w:val="00E52881"/>
    <w:rsid w:val="00E562CA"/>
    <w:rsid w:val="00E66853"/>
    <w:rsid w:val="00E743EC"/>
    <w:rsid w:val="00E75FBB"/>
    <w:rsid w:val="00E83CD8"/>
    <w:rsid w:val="00E90CC8"/>
    <w:rsid w:val="00E921E5"/>
    <w:rsid w:val="00E947F0"/>
    <w:rsid w:val="00E954B1"/>
    <w:rsid w:val="00EA216D"/>
    <w:rsid w:val="00EA5167"/>
    <w:rsid w:val="00EB18F3"/>
    <w:rsid w:val="00EB1E8B"/>
    <w:rsid w:val="00EB25D6"/>
    <w:rsid w:val="00EB2E07"/>
    <w:rsid w:val="00EB320E"/>
    <w:rsid w:val="00EC2BE0"/>
    <w:rsid w:val="00EC3A64"/>
    <w:rsid w:val="00EC413F"/>
    <w:rsid w:val="00EC5788"/>
    <w:rsid w:val="00ED0051"/>
    <w:rsid w:val="00ED39CE"/>
    <w:rsid w:val="00EE600E"/>
    <w:rsid w:val="00EE6F7D"/>
    <w:rsid w:val="00EE7657"/>
    <w:rsid w:val="00EF425E"/>
    <w:rsid w:val="00EF4375"/>
    <w:rsid w:val="00EF49D6"/>
    <w:rsid w:val="00EF6177"/>
    <w:rsid w:val="00F00935"/>
    <w:rsid w:val="00F03669"/>
    <w:rsid w:val="00F050FE"/>
    <w:rsid w:val="00F055ED"/>
    <w:rsid w:val="00F10310"/>
    <w:rsid w:val="00F10EBB"/>
    <w:rsid w:val="00F14A87"/>
    <w:rsid w:val="00F15791"/>
    <w:rsid w:val="00F222AC"/>
    <w:rsid w:val="00F24A72"/>
    <w:rsid w:val="00F26694"/>
    <w:rsid w:val="00F3235F"/>
    <w:rsid w:val="00F32BC7"/>
    <w:rsid w:val="00F3672C"/>
    <w:rsid w:val="00F4474C"/>
    <w:rsid w:val="00F466B5"/>
    <w:rsid w:val="00F477BE"/>
    <w:rsid w:val="00F5433A"/>
    <w:rsid w:val="00F54820"/>
    <w:rsid w:val="00F54A51"/>
    <w:rsid w:val="00F55E45"/>
    <w:rsid w:val="00F6051E"/>
    <w:rsid w:val="00F609A4"/>
    <w:rsid w:val="00F60E64"/>
    <w:rsid w:val="00F6191F"/>
    <w:rsid w:val="00F633D6"/>
    <w:rsid w:val="00F667EA"/>
    <w:rsid w:val="00F66BAA"/>
    <w:rsid w:val="00F72292"/>
    <w:rsid w:val="00F81F98"/>
    <w:rsid w:val="00F833B4"/>
    <w:rsid w:val="00F87353"/>
    <w:rsid w:val="00F87B61"/>
    <w:rsid w:val="00F87CD7"/>
    <w:rsid w:val="00F93138"/>
    <w:rsid w:val="00F9452A"/>
    <w:rsid w:val="00F96EF1"/>
    <w:rsid w:val="00F97F11"/>
    <w:rsid w:val="00FA16F0"/>
    <w:rsid w:val="00FA2A77"/>
    <w:rsid w:val="00FA58FC"/>
    <w:rsid w:val="00FA6E6C"/>
    <w:rsid w:val="00FB1168"/>
    <w:rsid w:val="00FC106F"/>
    <w:rsid w:val="00FC3EFC"/>
    <w:rsid w:val="00FC4ACE"/>
    <w:rsid w:val="00FC5460"/>
    <w:rsid w:val="00FC6952"/>
    <w:rsid w:val="00FD1A2C"/>
    <w:rsid w:val="00FD5D6B"/>
    <w:rsid w:val="00FE5824"/>
    <w:rsid w:val="00FF0559"/>
    <w:rsid w:val="00FF2D8E"/>
    <w:rsid w:val="00FF5D5F"/>
    <w:rsid w:val="00FF7C77"/>
    <w:rsid w:val="00FF7E48"/>
    <w:rsid w:val="07FF8E5A"/>
    <w:rsid w:val="08B359D0"/>
    <w:rsid w:val="0CDAED03"/>
    <w:rsid w:val="0E1FC50A"/>
    <w:rsid w:val="1144EAF3"/>
    <w:rsid w:val="141CDB97"/>
    <w:rsid w:val="14DE1162"/>
    <w:rsid w:val="1815B224"/>
    <w:rsid w:val="1841460C"/>
    <w:rsid w:val="18F192C2"/>
    <w:rsid w:val="19678BCA"/>
    <w:rsid w:val="1A61B6F4"/>
    <w:rsid w:val="1ED3F704"/>
    <w:rsid w:val="1F5F8E3E"/>
    <w:rsid w:val="218A2CA1"/>
    <w:rsid w:val="2344CB67"/>
    <w:rsid w:val="243AECE7"/>
    <w:rsid w:val="27728DA9"/>
    <w:rsid w:val="2960E737"/>
    <w:rsid w:val="2AA240E5"/>
    <w:rsid w:val="2AAA2E6B"/>
    <w:rsid w:val="2C3E1146"/>
    <w:rsid w:val="2CB6F3A2"/>
    <w:rsid w:val="2DE1CF2D"/>
    <w:rsid w:val="2F75B208"/>
    <w:rsid w:val="2F7D9F8E"/>
    <w:rsid w:val="32B54050"/>
    <w:rsid w:val="32B9237F"/>
    <w:rsid w:val="3449232B"/>
    <w:rsid w:val="3788B173"/>
    <w:rsid w:val="392481D4"/>
    <w:rsid w:val="3DF7F2F7"/>
    <w:rsid w:val="4221915C"/>
    <w:rsid w:val="43CC757A"/>
    <w:rsid w:val="4A154034"/>
    <w:rsid w:val="4AD675FF"/>
    <w:rsid w:val="4BCA192A"/>
    <w:rsid w:val="4F62E67C"/>
    <w:rsid w:val="52C85F87"/>
    <w:rsid w:val="54634092"/>
    <w:rsid w:val="56DF2C39"/>
    <w:rsid w:val="5B5DF6C2"/>
    <w:rsid w:val="5BE4EE28"/>
    <w:rsid w:val="5D78DC35"/>
    <w:rsid w:val="5F459278"/>
    <w:rsid w:val="602F11D2"/>
    <w:rsid w:val="60EAB017"/>
    <w:rsid w:val="61293CFC"/>
    <w:rsid w:val="64EBB0AB"/>
    <w:rsid w:val="64ED661A"/>
    <w:rsid w:val="655CDBCE"/>
    <w:rsid w:val="66698418"/>
    <w:rsid w:val="713FFA11"/>
    <w:rsid w:val="72D79A20"/>
    <w:rsid w:val="73D72F37"/>
    <w:rsid w:val="7493A493"/>
    <w:rsid w:val="78B9FE62"/>
    <w:rsid w:val="7C923C10"/>
    <w:rsid w:val="7E7B91B4"/>
    <w:rsid w:val="7F9EB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D580"/>
  <w15:chartTrackingRefBased/>
  <w15:docId w15:val="{4F19687E-6B1F-4FA8-83A4-CE87D0B4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FA2"/>
    <w:pPr>
      <w:ind w:left="720"/>
      <w:contextualSpacing/>
    </w:pPr>
  </w:style>
  <w:style w:type="paragraph" w:styleId="Footer">
    <w:name w:val="footer"/>
    <w:basedOn w:val="Normal"/>
    <w:link w:val="FooterChar"/>
    <w:uiPriority w:val="99"/>
    <w:unhideWhenUsed/>
    <w:rsid w:val="000F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A2"/>
  </w:style>
  <w:style w:type="character" w:styleId="Hyperlink">
    <w:name w:val="Hyperlink"/>
    <w:basedOn w:val="DefaultParagraphFont"/>
    <w:uiPriority w:val="99"/>
    <w:unhideWhenUsed/>
    <w:rsid w:val="00326E03"/>
    <w:rPr>
      <w:color w:val="0563C1" w:themeColor="hyperlink"/>
      <w:u w:val="single"/>
    </w:rPr>
  </w:style>
  <w:style w:type="paragraph" w:styleId="NoSpacing">
    <w:name w:val="No Spacing"/>
    <w:uiPriority w:val="1"/>
    <w:qFormat/>
    <w:rsid w:val="00A81FAD"/>
    <w:pPr>
      <w:spacing w:after="0" w:line="240" w:lineRule="auto"/>
    </w:pPr>
  </w:style>
  <w:style w:type="paragraph" w:customStyle="1" w:styleId="Default">
    <w:name w:val="Default"/>
    <w:rsid w:val="00A81FA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rsid w:val="003B2358"/>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3B2358"/>
    <w:rPr>
      <w:rFonts w:ascii="Arial" w:eastAsia="Times New Roman" w:hAnsi="Arial" w:cs="Arial"/>
      <w:sz w:val="20"/>
      <w:szCs w:val="20"/>
    </w:rPr>
  </w:style>
  <w:style w:type="character" w:styleId="EndnoteReference">
    <w:name w:val="endnote reference"/>
    <w:basedOn w:val="DefaultParagraphFont"/>
    <w:uiPriority w:val="99"/>
    <w:rsid w:val="003B2358"/>
    <w:rPr>
      <w:rFonts w:cs="Times New Roman"/>
      <w:vertAlign w:val="superscript"/>
    </w:rPr>
  </w:style>
  <w:style w:type="paragraph" w:styleId="BalloonText">
    <w:name w:val="Balloon Text"/>
    <w:basedOn w:val="Normal"/>
    <w:link w:val="BalloonTextChar"/>
    <w:uiPriority w:val="99"/>
    <w:semiHidden/>
    <w:unhideWhenUsed/>
    <w:rsid w:val="00B84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6C"/>
    <w:rPr>
      <w:rFonts w:ascii="Segoe UI" w:hAnsi="Segoe UI" w:cs="Segoe UI"/>
      <w:sz w:val="18"/>
      <w:szCs w:val="18"/>
    </w:rPr>
  </w:style>
  <w:style w:type="character" w:styleId="FollowedHyperlink">
    <w:name w:val="FollowedHyperlink"/>
    <w:basedOn w:val="DefaultParagraphFont"/>
    <w:uiPriority w:val="99"/>
    <w:semiHidden/>
    <w:unhideWhenUsed/>
    <w:rsid w:val="004A1D05"/>
    <w:rPr>
      <w:color w:val="954F72" w:themeColor="followedHyperlink"/>
      <w:u w:val="single"/>
    </w:rPr>
  </w:style>
  <w:style w:type="paragraph" w:customStyle="1" w:styleId="Standard">
    <w:name w:val="Standard"/>
    <w:rsid w:val="00E27BEF"/>
    <w:pPr>
      <w:suppressAutoHyphens/>
      <w:autoSpaceDN w:val="0"/>
      <w:textAlignment w:val="baseline"/>
    </w:pPr>
    <w:rPr>
      <w:rFonts w:ascii="Calibri" w:eastAsia="SimSun" w:hAnsi="Calibri" w:cs="F"/>
      <w:kern w:val="3"/>
    </w:rPr>
  </w:style>
  <w:style w:type="table" w:customStyle="1" w:styleId="GridTable1Light-Accent11">
    <w:name w:val="Grid Table 1 Light - Accent 11"/>
    <w:basedOn w:val="TableNormal"/>
    <w:next w:val="GridTable1Light-Accent1"/>
    <w:uiPriority w:val="46"/>
    <w:rsid w:val="00652D74"/>
    <w:pPr>
      <w:spacing w:after="0" w:line="240" w:lineRule="auto"/>
    </w:pPr>
    <w:rPr>
      <w:rFonts w:eastAsia="Times New Roman"/>
      <w:lang w:eastAsia="en-GB"/>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
    <w:uiPriority w:val="46"/>
    <w:rsid w:val="00652D74"/>
    <w:pPr>
      <w:spacing w:after="0" w:line="240" w:lineRule="auto"/>
    </w:pPr>
    <w:rPr>
      <w:rFonts w:eastAsia="Times New Roman"/>
      <w:lang w:eastAsia="en-GB"/>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2D7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CF5EA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8752B"/>
    <w:rPr>
      <w:color w:val="605E5C"/>
      <w:shd w:val="clear" w:color="auto" w:fill="E1DFDD"/>
    </w:rPr>
  </w:style>
  <w:style w:type="paragraph" w:styleId="Revision">
    <w:name w:val="Revision"/>
    <w:hidden/>
    <w:uiPriority w:val="99"/>
    <w:semiHidden/>
    <w:rsid w:val="00043DDF"/>
    <w:pPr>
      <w:spacing w:after="0" w:line="240" w:lineRule="auto"/>
    </w:pPr>
  </w:style>
  <w:style w:type="character" w:styleId="CommentReference">
    <w:name w:val="annotation reference"/>
    <w:basedOn w:val="DefaultParagraphFont"/>
    <w:uiPriority w:val="99"/>
    <w:semiHidden/>
    <w:unhideWhenUsed/>
    <w:rsid w:val="00CC191B"/>
    <w:rPr>
      <w:sz w:val="16"/>
      <w:szCs w:val="16"/>
    </w:rPr>
  </w:style>
  <w:style w:type="paragraph" w:styleId="CommentText">
    <w:name w:val="annotation text"/>
    <w:basedOn w:val="Normal"/>
    <w:link w:val="CommentTextChar"/>
    <w:uiPriority w:val="99"/>
    <w:unhideWhenUsed/>
    <w:rsid w:val="00CC191B"/>
    <w:pPr>
      <w:spacing w:line="240" w:lineRule="auto"/>
    </w:pPr>
    <w:rPr>
      <w:sz w:val="20"/>
      <w:szCs w:val="20"/>
    </w:rPr>
  </w:style>
  <w:style w:type="character" w:customStyle="1" w:styleId="CommentTextChar">
    <w:name w:val="Comment Text Char"/>
    <w:basedOn w:val="DefaultParagraphFont"/>
    <w:link w:val="CommentText"/>
    <w:uiPriority w:val="99"/>
    <w:rsid w:val="00CC191B"/>
    <w:rPr>
      <w:sz w:val="20"/>
      <w:szCs w:val="20"/>
    </w:rPr>
  </w:style>
  <w:style w:type="paragraph" w:styleId="CommentSubject">
    <w:name w:val="annotation subject"/>
    <w:basedOn w:val="CommentText"/>
    <w:next w:val="CommentText"/>
    <w:link w:val="CommentSubjectChar"/>
    <w:uiPriority w:val="99"/>
    <w:semiHidden/>
    <w:unhideWhenUsed/>
    <w:rsid w:val="00CC191B"/>
    <w:rPr>
      <w:b/>
      <w:bCs/>
    </w:rPr>
  </w:style>
  <w:style w:type="character" w:customStyle="1" w:styleId="CommentSubjectChar">
    <w:name w:val="Comment Subject Char"/>
    <w:basedOn w:val="CommentTextChar"/>
    <w:link w:val="CommentSubject"/>
    <w:uiPriority w:val="99"/>
    <w:semiHidden/>
    <w:rsid w:val="00CC191B"/>
    <w:rPr>
      <w:b/>
      <w:bCs/>
      <w:sz w:val="20"/>
      <w:szCs w:val="20"/>
    </w:rPr>
  </w:style>
  <w:style w:type="paragraph" w:styleId="Header">
    <w:name w:val="header"/>
    <w:basedOn w:val="Normal"/>
    <w:link w:val="HeaderChar"/>
    <w:uiPriority w:val="99"/>
    <w:unhideWhenUsed/>
    <w:rsid w:val="00841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9A"/>
  </w:style>
  <w:style w:type="paragraph" w:customStyle="1" w:styleId="paragraph">
    <w:name w:val="paragraph"/>
    <w:basedOn w:val="Normal"/>
    <w:rsid w:val="00941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1BA6"/>
  </w:style>
  <w:style w:type="character" w:customStyle="1" w:styleId="eop">
    <w:name w:val="eop"/>
    <w:basedOn w:val="DefaultParagraphFont"/>
    <w:rsid w:val="0094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25">
      <w:bodyDiv w:val="1"/>
      <w:marLeft w:val="0"/>
      <w:marRight w:val="0"/>
      <w:marTop w:val="0"/>
      <w:marBottom w:val="0"/>
      <w:divBdr>
        <w:top w:val="none" w:sz="0" w:space="0" w:color="auto"/>
        <w:left w:val="none" w:sz="0" w:space="0" w:color="auto"/>
        <w:bottom w:val="none" w:sz="0" w:space="0" w:color="auto"/>
        <w:right w:val="none" w:sz="0" w:space="0" w:color="auto"/>
      </w:divBdr>
    </w:div>
    <w:div w:id="234822447">
      <w:bodyDiv w:val="1"/>
      <w:marLeft w:val="0"/>
      <w:marRight w:val="0"/>
      <w:marTop w:val="0"/>
      <w:marBottom w:val="0"/>
      <w:divBdr>
        <w:top w:val="none" w:sz="0" w:space="0" w:color="auto"/>
        <w:left w:val="none" w:sz="0" w:space="0" w:color="auto"/>
        <w:bottom w:val="none" w:sz="0" w:space="0" w:color="auto"/>
        <w:right w:val="none" w:sz="0" w:space="0" w:color="auto"/>
      </w:divBdr>
    </w:div>
    <w:div w:id="445126165">
      <w:bodyDiv w:val="1"/>
      <w:marLeft w:val="0"/>
      <w:marRight w:val="0"/>
      <w:marTop w:val="0"/>
      <w:marBottom w:val="0"/>
      <w:divBdr>
        <w:top w:val="none" w:sz="0" w:space="0" w:color="auto"/>
        <w:left w:val="none" w:sz="0" w:space="0" w:color="auto"/>
        <w:bottom w:val="none" w:sz="0" w:space="0" w:color="auto"/>
        <w:right w:val="none" w:sz="0" w:space="0" w:color="auto"/>
      </w:divBdr>
    </w:div>
    <w:div w:id="565065403">
      <w:bodyDiv w:val="1"/>
      <w:marLeft w:val="0"/>
      <w:marRight w:val="0"/>
      <w:marTop w:val="0"/>
      <w:marBottom w:val="0"/>
      <w:divBdr>
        <w:top w:val="none" w:sz="0" w:space="0" w:color="auto"/>
        <w:left w:val="none" w:sz="0" w:space="0" w:color="auto"/>
        <w:bottom w:val="none" w:sz="0" w:space="0" w:color="auto"/>
        <w:right w:val="none" w:sz="0" w:space="0" w:color="auto"/>
      </w:divBdr>
      <w:divsChild>
        <w:div w:id="83261684">
          <w:marLeft w:val="547"/>
          <w:marRight w:val="0"/>
          <w:marTop w:val="86"/>
          <w:marBottom w:val="160"/>
          <w:divBdr>
            <w:top w:val="none" w:sz="0" w:space="0" w:color="auto"/>
            <w:left w:val="none" w:sz="0" w:space="0" w:color="auto"/>
            <w:bottom w:val="none" w:sz="0" w:space="0" w:color="auto"/>
            <w:right w:val="none" w:sz="0" w:space="0" w:color="auto"/>
          </w:divBdr>
        </w:div>
        <w:div w:id="112753890">
          <w:marLeft w:val="547"/>
          <w:marRight w:val="0"/>
          <w:marTop w:val="86"/>
          <w:marBottom w:val="160"/>
          <w:divBdr>
            <w:top w:val="none" w:sz="0" w:space="0" w:color="auto"/>
            <w:left w:val="none" w:sz="0" w:space="0" w:color="auto"/>
            <w:bottom w:val="none" w:sz="0" w:space="0" w:color="auto"/>
            <w:right w:val="none" w:sz="0" w:space="0" w:color="auto"/>
          </w:divBdr>
        </w:div>
        <w:div w:id="134491156">
          <w:marLeft w:val="547"/>
          <w:marRight w:val="0"/>
          <w:marTop w:val="86"/>
          <w:marBottom w:val="160"/>
          <w:divBdr>
            <w:top w:val="none" w:sz="0" w:space="0" w:color="auto"/>
            <w:left w:val="none" w:sz="0" w:space="0" w:color="auto"/>
            <w:bottom w:val="none" w:sz="0" w:space="0" w:color="auto"/>
            <w:right w:val="none" w:sz="0" w:space="0" w:color="auto"/>
          </w:divBdr>
        </w:div>
        <w:div w:id="505677846">
          <w:marLeft w:val="547"/>
          <w:marRight w:val="0"/>
          <w:marTop w:val="86"/>
          <w:marBottom w:val="160"/>
          <w:divBdr>
            <w:top w:val="none" w:sz="0" w:space="0" w:color="auto"/>
            <w:left w:val="none" w:sz="0" w:space="0" w:color="auto"/>
            <w:bottom w:val="none" w:sz="0" w:space="0" w:color="auto"/>
            <w:right w:val="none" w:sz="0" w:space="0" w:color="auto"/>
          </w:divBdr>
        </w:div>
        <w:div w:id="610406083">
          <w:marLeft w:val="547"/>
          <w:marRight w:val="0"/>
          <w:marTop w:val="86"/>
          <w:marBottom w:val="160"/>
          <w:divBdr>
            <w:top w:val="none" w:sz="0" w:space="0" w:color="auto"/>
            <w:left w:val="none" w:sz="0" w:space="0" w:color="auto"/>
            <w:bottom w:val="none" w:sz="0" w:space="0" w:color="auto"/>
            <w:right w:val="none" w:sz="0" w:space="0" w:color="auto"/>
          </w:divBdr>
        </w:div>
        <w:div w:id="795365992">
          <w:marLeft w:val="547"/>
          <w:marRight w:val="0"/>
          <w:marTop w:val="86"/>
          <w:marBottom w:val="160"/>
          <w:divBdr>
            <w:top w:val="none" w:sz="0" w:space="0" w:color="auto"/>
            <w:left w:val="none" w:sz="0" w:space="0" w:color="auto"/>
            <w:bottom w:val="none" w:sz="0" w:space="0" w:color="auto"/>
            <w:right w:val="none" w:sz="0" w:space="0" w:color="auto"/>
          </w:divBdr>
        </w:div>
        <w:div w:id="1952128686">
          <w:marLeft w:val="547"/>
          <w:marRight w:val="0"/>
          <w:marTop w:val="86"/>
          <w:marBottom w:val="160"/>
          <w:divBdr>
            <w:top w:val="none" w:sz="0" w:space="0" w:color="auto"/>
            <w:left w:val="none" w:sz="0" w:space="0" w:color="auto"/>
            <w:bottom w:val="none" w:sz="0" w:space="0" w:color="auto"/>
            <w:right w:val="none" w:sz="0" w:space="0" w:color="auto"/>
          </w:divBdr>
        </w:div>
        <w:div w:id="2090494991">
          <w:marLeft w:val="547"/>
          <w:marRight w:val="0"/>
          <w:marTop w:val="86"/>
          <w:marBottom w:val="160"/>
          <w:divBdr>
            <w:top w:val="none" w:sz="0" w:space="0" w:color="auto"/>
            <w:left w:val="none" w:sz="0" w:space="0" w:color="auto"/>
            <w:bottom w:val="none" w:sz="0" w:space="0" w:color="auto"/>
            <w:right w:val="none" w:sz="0" w:space="0" w:color="auto"/>
          </w:divBdr>
        </w:div>
      </w:divsChild>
    </w:div>
    <w:div w:id="819620152">
      <w:bodyDiv w:val="1"/>
      <w:marLeft w:val="0"/>
      <w:marRight w:val="0"/>
      <w:marTop w:val="0"/>
      <w:marBottom w:val="0"/>
      <w:divBdr>
        <w:top w:val="none" w:sz="0" w:space="0" w:color="auto"/>
        <w:left w:val="none" w:sz="0" w:space="0" w:color="auto"/>
        <w:bottom w:val="none" w:sz="0" w:space="0" w:color="auto"/>
        <w:right w:val="none" w:sz="0" w:space="0" w:color="auto"/>
      </w:divBdr>
      <w:divsChild>
        <w:div w:id="1928685427">
          <w:marLeft w:val="547"/>
          <w:marRight w:val="0"/>
          <w:marTop w:val="86"/>
          <w:marBottom w:val="0"/>
          <w:divBdr>
            <w:top w:val="none" w:sz="0" w:space="0" w:color="auto"/>
            <w:left w:val="none" w:sz="0" w:space="0" w:color="auto"/>
            <w:bottom w:val="none" w:sz="0" w:space="0" w:color="auto"/>
            <w:right w:val="none" w:sz="0" w:space="0" w:color="auto"/>
          </w:divBdr>
        </w:div>
        <w:div w:id="1997151569">
          <w:marLeft w:val="547"/>
          <w:marRight w:val="0"/>
          <w:marTop w:val="86"/>
          <w:marBottom w:val="0"/>
          <w:divBdr>
            <w:top w:val="none" w:sz="0" w:space="0" w:color="auto"/>
            <w:left w:val="none" w:sz="0" w:space="0" w:color="auto"/>
            <w:bottom w:val="none" w:sz="0" w:space="0" w:color="auto"/>
            <w:right w:val="none" w:sz="0" w:space="0" w:color="auto"/>
          </w:divBdr>
        </w:div>
        <w:div w:id="2113820665">
          <w:marLeft w:val="547"/>
          <w:marRight w:val="0"/>
          <w:marTop w:val="86"/>
          <w:marBottom w:val="0"/>
          <w:divBdr>
            <w:top w:val="none" w:sz="0" w:space="0" w:color="auto"/>
            <w:left w:val="none" w:sz="0" w:space="0" w:color="auto"/>
            <w:bottom w:val="none" w:sz="0" w:space="0" w:color="auto"/>
            <w:right w:val="none" w:sz="0" w:space="0" w:color="auto"/>
          </w:divBdr>
        </w:div>
      </w:divsChild>
    </w:div>
    <w:div w:id="1002973456">
      <w:bodyDiv w:val="1"/>
      <w:marLeft w:val="0"/>
      <w:marRight w:val="0"/>
      <w:marTop w:val="0"/>
      <w:marBottom w:val="0"/>
      <w:divBdr>
        <w:top w:val="none" w:sz="0" w:space="0" w:color="auto"/>
        <w:left w:val="none" w:sz="0" w:space="0" w:color="auto"/>
        <w:bottom w:val="none" w:sz="0" w:space="0" w:color="auto"/>
        <w:right w:val="none" w:sz="0" w:space="0" w:color="auto"/>
      </w:divBdr>
    </w:div>
    <w:div w:id="1049383375">
      <w:bodyDiv w:val="1"/>
      <w:marLeft w:val="0"/>
      <w:marRight w:val="0"/>
      <w:marTop w:val="0"/>
      <w:marBottom w:val="0"/>
      <w:divBdr>
        <w:top w:val="none" w:sz="0" w:space="0" w:color="auto"/>
        <w:left w:val="none" w:sz="0" w:space="0" w:color="auto"/>
        <w:bottom w:val="none" w:sz="0" w:space="0" w:color="auto"/>
        <w:right w:val="none" w:sz="0" w:space="0" w:color="auto"/>
      </w:divBdr>
    </w:div>
    <w:div w:id="1071001109">
      <w:bodyDiv w:val="1"/>
      <w:marLeft w:val="0"/>
      <w:marRight w:val="0"/>
      <w:marTop w:val="0"/>
      <w:marBottom w:val="0"/>
      <w:divBdr>
        <w:top w:val="none" w:sz="0" w:space="0" w:color="auto"/>
        <w:left w:val="none" w:sz="0" w:space="0" w:color="auto"/>
        <w:bottom w:val="none" w:sz="0" w:space="0" w:color="auto"/>
        <w:right w:val="none" w:sz="0" w:space="0" w:color="auto"/>
      </w:divBdr>
      <w:divsChild>
        <w:div w:id="715130342">
          <w:marLeft w:val="547"/>
          <w:marRight w:val="0"/>
          <w:marTop w:val="86"/>
          <w:marBottom w:val="0"/>
          <w:divBdr>
            <w:top w:val="none" w:sz="0" w:space="0" w:color="auto"/>
            <w:left w:val="none" w:sz="0" w:space="0" w:color="auto"/>
            <w:bottom w:val="none" w:sz="0" w:space="0" w:color="auto"/>
            <w:right w:val="none" w:sz="0" w:space="0" w:color="auto"/>
          </w:divBdr>
        </w:div>
        <w:div w:id="857036752">
          <w:marLeft w:val="547"/>
          <w:marRight w:val="0"/>
          <w:marTop w:val="86"/>
          <w:marBottom w:val="0"/>
          <w:divBdr>
            <w:top w:val="none" w:sz="0" w:space="0" w:color="auto"/>
            <w:left w:val="none" w:sz="0" w:space="0" w:color="auto"/>
            <w:bottom w:val="none" w:sz="0" w:space="0" w:color="auto"/>
            <w:right w:val="none" w:sz="0" w:space="0" w:color="auto"/>
          </w:divBdr>
        </w:div>
        <w:div w:id="1267731504">
          <w:marLeft w:val="547"/>
          <w:marRight w:val="0"/>
          <w:marTop w:val="86"/>
          <w:marBottom w:val="0"/>
          <w:divBdr>
            <w:top w:val="none" w:sz="0" w:space="0" w:color="auto"/>
            <w:left w:val="none" w:sz="0" w:space="0" w:color="auto"/>
            <w:bottom w:val="none" w:sz="0" w:space="0" w:color="auto"/>
            <w:right w:val="none" w:sz="0" w:space="0" w:color="auto"/>
          </w:divBdr>
        </w:div>
        <w:div w:id="1589532901">
          <w:marLeft w:val="547"/>
          <w:marRight w:val="0"/>
          <w:marTop w:val="86"/>
          <w:marBottom w:val="0"/>
          <w:divBdr>
            <w:top w:val="none" w:sz="0" w:space="0" w:color="auto"/>
            <w:left w:val="none" w:sz="0" w:space="0" w:color="auto"/>
            <w:bottom w:val="none" w:sz="0" w:space="0" w:color="auto"/>
            <w:right w:val="none" w:sz="0" w:space="0" w:color="auto"/>
          </w:divBdr>
        </w:div>
        <w:div w:id="1711764446">
          <w:marLeft w:val="547"/>
          <w:marRight w:val="0"/>
          <w:marTop w:val="86"/>
          <w:marBottom w:val="0"/>
          <w:divBdr>
            <w:top w:val="none" w:sz="0" w:space="0" w:color="auto"/>
            <w:left w:val="none" w:sz="0" w:space="0" w:color="auto"/>
            <w:bottom w:val="none" w:sz="0" w:space="0" w:color="auto"/>
            <w:right w:val="none" w:sz="0" w:space="0" w:color="auto"/>
          </w:divBdr>
        </w:div>
      </w:divsChild>
    </w:div>
    <w:div w:id="1543782798">
      <w:bodyDiv w:val="1"/>
      <w:marLeft w:val="0"/>
      <w:marRight w:val="0"/>
      <w:marTop w:val="0"/>
      <w:marBottom w:val="0"/>
      <w:divBdr>
        <w:top w:val="none" w:sz="0" w:space="0" w:color="auto"/>
        <w:left w:val="none" w:sz="0" w:space="0" w:color="auto"/>
        <w:bottom w:val="none" w:sz="0" w:space="0" w:color="auto"/>
        <w:right w:val="none" w:sz="0" w:space="0" w:color="auto"/>
      </w:divBdr>
    </w:div>
    <w:div w:id="1791708180">
      <w:bodyDiv w:val="1"/>
      <w:marLeft w:val="0"/>
      <w:marRight w:val="0"/>
      <w:marTop w:val="0"/>
      <w:marBottom w:val="0"/>
      <w:divBdr>
        <w:top w:val="none" w:sz="0" w:space="0" w:color="auto"/>
        <w:left w:val="none" w:sz="0" w:space="0" w:color="auto"/>
        <w:bottom w:val="none" w:sz="0" w:space="0" w:color="auto"/>
        <w:right w:val="none" w:sz="0" w:space="0" w:color="auto"/>
      </w:divBdr>
    </w:div>
    <w:div w:id="1801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CC - Word" ma:contentTypeID="0x010100E583181B4ACE6A489EFBF8A71D16EFA40027A11DD0F42D5D42833AFCB2AAB75DB6" ma:contentTypeVersion="45" ma:contentTypeDescription="" ma:contentTypeScope="" ma:versionID="60748e972fc9e2e79a1de03e938d5201">
  <xsd:schema xmlns:xsd="http://www.w3.org/2001/XMLSchema" xmlns:xs="http://www.w3.org/2001/XMLSchema" xmlns:p="http://schemas.microsoft.com/office/2006/metadata/properties" xmlns:ns2="c40dd51c-0b93-41a3-8ce1-c0167702c6fe" targetNamespace="http://schemas.microsoft.com/office/2006/metadata/properties" ma:root="true" ma:fieldsID="0b606aa33c4baabac66e05975ea50c65"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Props1.xml><?xml version="1.0" encoding="utf-8"?>
<ds:datastoreItem xmlns:ds="http://schemas.openxmlformats.org/officeDocument/2006/customXml" ds:itemID="{D6768CC2-171A-4A12-BB51-7F695528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D51A6-C50D-485C-A2C6-0DAB60B817F5}">
  <ds:schemaRefs>
    <ds:schemaRef ds:uri="http://schemas.openxmlformats.org/officeDocument/2006/bibliography"/>
  </ds:schemaRefs>
</ds:datastoreItem>
</file>

<file path=customXml/itemProps3.xml><?xml version="1.0" encoding="utf-8"?>
<ds:datastoreItem xmlns:ds="http://schemas.openxmlformats.org/officeDocument/2006/customXml" ds:itemID="{B0965302-562A-4E2A-B707-A1696258DBC8}">
  <ds:schemaRefs>
    <ds:schemaRef ds:uri="Microsoft.SharePoint.Taxonomy.ContentTypeSync"/>
  </ds:schemaRefs>
</ds:datastoreItem>
</file>

<file path=customXml/itemProps4.xml><?xml version="1.0" encoding="utf-8"?>
<ds:datastoreItem xmlns:ds="http://schemas.openxmlformats.org/officeDocument/2006/customXml" ds:itemID="{A33670DB-6456-4933-A660-EF5B0D727ED3}">
  <ds:schemaRefs>
    <ds:schemaRef ds:uri="http://schemas.microsoft.com/sharepoint/v3/contenttype/forms"/>
  </ds:schemaRefs>
</ds:datastoreItem>
</file>

<file path=customXml/itemProps5.xml><?xml version="1.0" encoding="utf-8"?>
<ds:datastoreItem xmlns:ds="http://schemas.openxmlformats.org/officeDocument/2006/customXml" ds:itemID="{C3F19AC7-5A91-41D0-9D04-A0D7745A8FDC}">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2906</Words>
  <Characters>16568</Characters>
  <Application>Microsoft Office Word</Application>
  <DocSecurity>4</DocSecurity>
  <Lines>138</Lines>
  <Paragraphs>38</Paragraphs>
  <ScaleCrop>false</ScaleCrop>
  <Company>Monmouthshire County Council</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Richard D</dc:creator>
  <cp:keywords/>
  <dc:description/>
  <cp:lastModifiedBy>Pells, Heather</cp:lastModifiedBy>
  <cp:revision>2</cp:revision>
  <cp:lastPrinted>2017-07-08T01:27:00Z</cp:lastPrinted>
  <dcterms:created xsi:type="dcterms:W3CDTF">2024-04-18T12:09:00Z</dcterms:created>
  <dcterms:modified xsi:type="dcterms:W3CDTF">2024-04-18T12:09:00Z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0x010100E583181B4ACE6A489EFBF8A71D16EFA40027A11DD0F42D5D42833AFCB2AAB75DB6</vt:lpwstr>
  </property>
  <property fmtid="{D5CDD505-2E9C-101B-9397-08002B2CF9AE}" pid="3" name="Order">
    <vt:r8>100</vt:r8>
  </property>
</Properties>
</file>