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A32E4" w14:textId="2A1314F4" w:rsidR="001A588D" w:rsidRDefault="00FF6F4B" w:rsidP="00FF6F4B">
      <w:pPr>
        <w:rPr>
          <w:rFonts w:ascii="Arial" w:hAnsi="Arial" w:cs="Arial"/>
          <w:b/>
          <w:lang w:val="en-US"/>
        </w:rPr>
      </w:pPr>
      <w:bookmarkStart w:id="0" w:name="_Hlk80715235"/>
      <w:r>
        <w:rPr>
          <w:rFonts w:ascii="Arial" w:hAnsi="Arial" w:cs="Arial"/>
        </w:rPr>
        <w:drawing>
          <wp:inline distT="0" distB="0" distL="0" distR="0" wp14:anchorId="05B6043E" wp14:editId="2C811C41">
            <wp:extent cx="1628069" cy="676275"/>
            <wp:effectExtent l="0" t="0" r="0" b="0"/>
            <wp:docPr id="1" name="Picture 1" descr="Gwent P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went PSB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32354" cy="678055"/>
                    </a:xfrm>
                    <a:prstGeom prst="rect">
                      <a:avLst/>
                    </a:prstGeom>
                    <a:noFill/>
                    <a:ln>
                      <a:noFill/>
                    </a:ln>
                  </pic:spPr>
                </pic:pic>
              </a:graphicData>
            </a:graphic>
          </wp:inline>
        </w:drawing>
      </w:r>
    </w:p>
    <w:p w14:paraId="135B77A1" w14:textId="77777777" w:rsidR="001A588D" w:rsidRPr="001A588D" w:rsidRDefault="001A588D" w:rsidP="001A588D">
      <w:pPr>
        <w:jc w:val="both"/>
        <w:rPr>
          <w:rFonts w:ascii="Arial" w:hAnsi="Arial" w:cs="Arial"/>
          <w:lang w:val="en-US"/>
        </w:rPr>
      </w:pPr>
    </w:p>
    <w:bookmarkEnd w:id="0"/>
    <w:p w14:paraId="7233C407" w14:textId="611E5E2F" w:rsidR="001A588D" w:rsidRPr="00964ADF" w:rsidRDefault="001A588D" w:rsidP="001A588D">
      <w:pPr>
        <w:jc w:val="both"/>
        <w:rPr>
          <w:rFonts w:ascii="Arial" w:hAnsi="Arial" w:cs="Arial"/>
          <w:b/>
          <w:bCs/>
        </w:rPr>
      </w:pPr>
      <w:r w:rsidRPr="00964ADF">
        <w:rPr>
          <w:rFonts w:ascii="Arial" w:hAnsi="Arial" w:cs="Arial"/>
          <w:b/>
          <w:bCs/>
        </w:rPr>
        <w:t xml:space="preserve">SUBJECT: </w:t>
      </w:r>
      <w:r w:rsidR="00C32E15">
        <w:rPr>
          <w:rFonts w:ascii="Arial" w:hAnsi="Arial" w:cs="Arial"/>
          <w:b/>
          <w:bCs/>
        </w:rPr>
        <w:t>Terms of Reference and Scheduling of Areas of Focus Updates</w:t>
      </w:r>
    </w:p>
    <w:p w14:paraId="2BB4AA2E" w14:textId="77777777" w:rsidR="00957E14" w:rsidRPr="00964ADF" w:rsidRDefault="00957E14" w:rsidP="001A588D">
      <w:pPr>
        <w:jc w:val="both"/>
        <w:rPr>
          <w:rFonts w:ascii="Arial" w:hAnsi="Arial" w:cs="Arial"/>
          <w:i/>
        </w:rPr>
      </w:pPr>
    </w:p>
    <w:p w14:paraId="46F43B93" w14:textId="21ED22C1" w:rsidR="001A588D" w:rsidRPr="00964ADF" w:rsidRDefault="001A588D" w:rsidP="001A588D">
      <w:pPr>
        <w:jc w:val="both"/>
        <w:rPr>
          <w:rFonts w:ascii="Arial" w:hAnsi="Arial" w:cs="Arial"/>
          <w:i/>
          <w:sz w:val="22"/>
          <w:szCs w:val="22"/>
        </w:rPr>
      </w:pPr>
      <w:r w:rsidRPr="00964ADF">
        <w:rPr>
          <w:rFonts w:ascii="Arial" w:hAnsi="Arial" w:cs="Arial"/>
          <w:i/>
          <w:sz w:val="22"/>
          <w:szCs w:val="22"/>
        </w:rPr>
        <w:t>Report written and submitted by:</w:t>
      </w:r>
      <w:r w:rsidR="006E0646" w:rsidRPr="00964ADF">
        <w:rPr>
          <w:rFonts w:ascii="Arial" w:hAnsi="Arial" w:cs="Arial"/>
          <w:i/>
          <w:sz w:val="22"/>
          <w:szCs w:val="22"/>
        </w:rPr>
        <w:t xml:space="preserve"> </w:t>
      </w:r>
      <w:r w:rsidR="00A060D1" w:rsidRPr="0050551E">
        <w:rPr>
          <w:rFonts w:ascii="Arial" w:hAnsi="Arial" w:cs="Arial"/>
          <w:i/>
          <w:sz w:val="22"/>
          <w:szCs w:val="22"/>
        </w:rPr>
        <w:t>Kathryn Peters, Service Manager- Service Improvement and Partnerships</w:t>
      </w:r>
    </w:p>
    <w:p w14:paraId="0ECF3565" w14:textId="77777777" w:rsidR="00167A84" w:rsidRPr="00964ADF" w:rsidRDefault="00167A84" w:rsidP="001A588D">
      <w:pPr>
        <w:jc w:val="both"/>
        <w:rPr>
          <w:rFonts w:ascii="Arial" w:hAnsi="Arial" w:cs="Arial"/>
          <w:i/>
          <w:sz w:val="22"/>
          <w:szCs w:val="22"/>
        </w:rPr>
      </w:pPr>
    </w:p>
    <w:p w14:paraId="4A759FA9" w14:textId="691E35F8" w:rsidR="00A0184F" w:rsidRPr="00964ADF" w:rsidRDefault="00935187" w:rsidP="00866B8E">
      <w:pPr>
        <w:jc w:val="both"/>
        <w:rPr>
          <w:rFonts w:ascii="Arial" w:hAnsi="Arial" w:cs="Arial"/>
          <w:i/>
          <w:sz w:val="22"/>
          <w:szCs w:val="22"/>
        </w:rPr>
      </w:pPr>
      <w:r w:rsidRPr="00964ADF">
        <w:rPr>
          <w:rFonts w:ascii="Arial" w:hAnsi="Arial" w:cs="Arial"/>
          <w:i/>
          <w:sz w:val="22"/>
          <w:szCs w:val="22"/>
        </w:rPr>
        <w:t xml:space="preserve">Author: </w:t>
      </w:r>
      <w:r w:rsidR="005747D1" w:rsidRPr="00964ADF">
        <w:rPr>
          <w:rFonts w:ascii="Arial" w:hAnsi="Arial" w:cs="Arial"/>
          <w:i/>
          <w:sz w:val="22"/>
          <w:szCs w:val="22"/>
        </w:rPr>
        <w:t>Heather Delonnette</w:t>
      </w:r>
      <w:r w:rsidR="00866B8E" w:rsidRPr="00964ADF">
        <w:rPr>
          <w:rFonts w:ascii="Arial" w:hAnsi="Arial" w:cs="Arial"/>
          <w:i/>
          <w:sz w:val="22"/>
          <w:szCs w:val="22"/>
        </w:rPr>
        <w:t xml:space="preserve"> </w:t>
      </w:r>
    </w:p>
    <w:p w14:paraId="0A879B30" w14:textId="77777777" w:rsidR="00866B8E" w:rsidRPr="00964ADF" w:rsidRDefault="00866B8E" w:rsidP="00866B8E">
      <w:pPr>
        <w:jc w:val="both"/>
        <w:rPr>
          <w:rFonts w:ascii="Arial" w:hAnsi="Arial" w:cs="Arial"/>
          <w:sz w:val="22"/>
          <w:szCs w:val="22"/>
        </w:rPr>
      </w:pPr>
    </w:p>
    <w:tbl>
      <w:tblPr>
        <w:tblStyle w:val="TableGrid"/>
        <w:tblW w:w="9351" w:type="dxa"/>
        <w:tblLook w:val="04A0" w:firstRow="1" w:lastRow="0" w:firstColumn="1" w:lastColumn="0" w:noHBand="0" w:noVBand="1"/>
      </w:tblPr>
      <w:tblGrid>
        <w:gridCol w:w="645"/>
        <w:gridCol w:w="8706"/>
      </w:tblGrid>
      <w:tr w:rsidR="007D4909" w:rsidRPr="00964ADF" w14:paraId="6F20AEE6" w14:textId="77777777" w:rsidTr="00AB77C6">
        <w:tc>
          <w:tcPr>
            <w:tcW w:w="645" w:type="dxa"/>
          </w:tcPr>
          <w:p w14:paraId="722CCBF1" w14:textId="6B351E4C" w:rsidR="001A588D" w:rsidRPr="00964ADF" w:rsidRDefault="001A588D">
            <w:pPr>
              <w:rPr>
                <w:rFonts w:ascii="Arial" w:hAnsi="Arial" w:cs="Arial"/>
                <w:b/>
                <w:bCs/>
              </w:rPr>
            </w:pPr>
            <w:r w:rsidRPr="00964ADF">
              <w:rPr>
                <w:rFonts w:ascii="Arial" w:hAnsi="Arial" w:cs="Arial"/>
                <w:b/>
                <w:bCs/>
              </w:rPr>
              <w:t>1</w:t>
            </w:r>
          </w:p>
        </w:tc>
        <w:tc>
          <w:tcPr>
            <w:tcW w:w="8706" w:type="dxa"/>
          </w:tcPr>
          <w:p w14:paraId="3B98C740" w14:textId="00E4092D" w:rsidR="001A588D" w:rsidRPr="00964ADF" w:rsidRDefault="001A588D">
            <w:pPr>
              <w:rPr>
                <w:rFonts w:ascii="Arial" w:hAnsi="Arial" w:cs="Arial"/>
                <w:b/>
                <w:bCs/>
              </w:rPr>
            </w:pPr>
            <w:r w:rsidRPr="00964ADF">
              <w:rPr>
                <w:rFonts w:ascii="Arial" w:hAnsi="Arial" w:cs="Arial"/>
                <w:b/>
                <w:bCs/>
              </w:rPr>
              <w:t>Areas Affected</w:t>
            </w:r>
          </w:p>
        </w:tc>
      </w:tr>
      <w:tr w:rsidR="007D4909" w:rsidRPr="00964ADF" w14:paraId="6B467C1A" w14:textId="77777777" w:rsidTr="00AB77C6">
        <w:tc>
          <w:tcPr>
            <w:tcW w:w="645" w:type="dxa"/>
          </w:tcPr>
          <w:p w14:paraId="53E2A6CA" w14:textId="77777777" w:rsidR="001A588D" w:rsidRPr="00964ADF" w:rsidRDefault="001A588D">
            <w:pPr>
              <w:rPr>
                <w:rFonts w:ascii="Arial" w:hAnsi="Arial" w:cs="Arial"/>
              </w:rPr>
            </w:pPr>
          </w:p>
        </w:tc>
        <w:tc>
          <w:tcPr>
            <w:tcW w:w="8706" w:type="dxa"/>
          </w:tcPr>
          <w:p w14:paraId="39256954" w14:textId="77777777" w:rsidR="001A588D" w:rsidRPr="00964ADF" w:rsidRDefault="001A588D">
            <w:pPr>
              <w:rPr>
                <w:rFonts w:ascii="Arial" w:hAnsi="Arial" w:cs="Arial"/>
              </w:rPr>
            </w:pPr>
          </w:p>
        </w:tc>
      </w:tr>
      <w:tr w:rsidR="007D4909" w:rsidRPr="00964ADF" w14:paraId="7C80812C" w14:textId="77777777" w:rsidTr="00AB77C6">
        <w:tc>
          <w:tcPr>
            <w:tcW w:w="645" w:type="dxa"/>
          </w:tcPr>
          <w:p w14:paraId="1B7A45D7" w14:textId="7506A9F4" w:rsidR="001A588D" w:rsidRPr="00964ADF" w:rsidRDefault="001A588D">
            <w:pPr>
              <w:rPr>
                <w:rFonts w:ascii="Arial" w:hAnsi="Arial" w:cs="Arial"/>
              </w:rPr>
            </w:pPr>
            <w:r w:rsidRPr="00964ADF">
              <w:rPr>
                <w:rFonts w:ascii="Arial" w:hAnsi="Arial" w:cs="Arial"/>
                <w:sz w:val="22"/>
                <w:szCs w:val="22"/>
              </w:rPr>
              <w:t>1.1</w:t>
            </w:r>
          </w:p>
        </w:tc>
        <w:tc>
          <w:tcPr>
            <w:tcW w:w="8706" w:type="dxa"/>
          </w:tcPr>
          <w:p w14:paraId="3CD618C1" w14:textId="4F2CA92B" w:rsidR="001A588D" w:rsidRPr="00964ADF" w:rsidRDefault="005747D1" w:rsidP="00651982">
            <w:pPr>
              <w:spacing w:before="120" w:after="120"/>
              <w:rPr>
                <w:rFonts w:ascii="Arial" w:hAnsi="Arial" w:cs="Arial"/>
                <w:iCs/>
              </w:rPr>
            </w:pPr>
            <w:r w:rsidRPr="00964ADF">
              <w:rPr>
                <w:rFonts w:ascii="Arial" w:hAnsi="Arial" w:cs="Arial"/>
                <w:iCs/>
              </w:rPr>
              <w:t>All locations</w:t>
            </w:r>
          </w:p>
        </w:tc>
      </w:tr>
      <w:tr w:rsidR="007D4909" w:rsidRPr="00964ADF" w14:paraId="0A9740D9" w14:textId="77777777" w:rsidTr="00AB77C6">
        <w:tc>
          <w:tcPr>
            <w:tcW w:w="645" w:type="dxa"/>
          </w:tcPr>
          <w:p w14:paraId="2F3BA0BC" w14:textId="77777777" w:rsidR="001A588D" w:rsidRPr="00964ADF" w:rsidRDefault="001A588D">
            <w:pPr>
              <w:rPr>
                <w:rFonts w:ascii="Arial" w:hAnsi="Arial" w:cs="Arial"/>
              </w:rPr>
            </w:pPr>
          </w:p>
        </w:tc>
        <w:tc>
          <w:tcPr>
            <w:tcW w:w="8706" w:type="dxa"/>
          </w:tcPr>
          <w:p w14:paraId="1D9224B7" w14:textId="77777777" w:rsidR="001A588D" w:rsidRPr="00964ADF" w:rsidRDefault="001A588D">
            <w:pPr>
              <w:rPr>
                <w:rFonts w:ascii="Arial" w:hAnsi="Arial" w:cs="Arial"/>
              </w:rPr>
            </w:pPr>
          </w:p>
        </w:tc>
      </w:tr>
      <w:tr w:rsidR="007D4909" w:rsidRPr="00964ADF" w14:paraId="5FB9EEBA" w14:textId="77777777" w:rsidTr="00AB77C6">
        <w:tc>
          <w:tcPr>
            <w:tcW w:w="645" w:type="dxa"/>
          </w:tcPr>
          <w:p w14:paraId="31ED8A43" w14:textId="0517556E" w:rsidR="001A588D" w:rsidRPr="00964ADF" w:rsidRDefault="001A588D">
            <w:pPr>
              <w:rPr>
                <w:rFonts w:ascii="Arial" w:hAnsi="Arial" w:cs="Arial"/>
                <w:b/>
                <w:bCs/>
              </w:rPr>
            </w:pPr>
            <w:r w:rsidRPr="00964ADF">
              <w:rPr>
                <w:rFonts w:ascii="Arial" w:hAnsi="Arial" w:cs="Arial"/>
                <w:b/>
                <w:bCs/>
              </w:rPr>
              <w:t>2</w:t>
            </w:r>
          </w:p>
        </w:tc>
        <w:tc>
          <w:tcPr>
            <w:tcW w:w="8706" w:type="dxa"/>
          </w:tcPr>
          <w:p w14:paraId="00DE0030" w14:textId="7F62ACEF" w:rsidR="001A588D" w:rsidRPr="00964ADF" w:rsidRDefault="001A588D">
            <w:pPr>
              <w:rPr>
                <w:rFonts w:ascii="Arial" w:hAnsi="Arial" w:cs="Arial"/>
                <w:b/>
                <w:bCs/>
              </w:rPr>
            </w:pPr>
            <w:r w:rsidRPr="00964ADF">
              <w:rPr>
                <w:rFonts w:ascii="Arial" w:hAnsi="Arial" w:cs="Arial"/>
                <w:b/>
                <w:bCs/>
              </w:rPr>
              <w:t>Purpose of Report</w:t>
            </w:r>
            <w:r w:rsidR="00866B8E" w:rsidRPr="00964ADF">
              <w:rPr>
                <w:rFonts w:ascii="Arial" w:hAnsi="Arial" w:cs="Arial"/>
                <w:b/>
                <w:bCs/>
              </w:rPr>
              <w:t xml:space="preserve"> </w:t>
            </w:r>
          </w:p>
        </w:tc>
      </w:tr>
      <w:tr w:rsidR="007D4909" w:rsidRPr="00964ADF" w14:paraId="4ADCF351" w14:textId="77777777" w:rsidTr="00AB77C6">
        <w:tc>
          <w:tcPr>
            <w:tcW w:w="645" w:type="dxa"/>
          </w:tcPr>
          <w:p w14:paraId="2C36D674" w14:textId="77777777" w:rsidR="001A588D" w:rsidRPr="00964ADF" w:rsidRDefault="001A588D">
            <w:pPr>
              <w:rPr>
                <w:rFonts w:ascii="Arial" w:hAnsi="Arial" w:cs="Arial"/>
                <w:b/>
                <w:bCs/>
              </w:rPr>
            </w:pPr>
          </w:p>
        </w:tc>
        <w:tc>
          <w:tcPr>
            <w:tcW w:w="8706" w:type="dxa"/>
          </w:tcPr>
          <w:p w14:paraId="4ECDDE7B" w14:textId="77777777" w:rsidR="001A588D" w:rsidRPr="00964ADF" w:rsidRDefault="001A588D">
            <w:pPr>
              <w:rPr>
                <w:rFonts w:ascii="Arial" w:hAnsi="Arial" w:cs="Arial"/>
              </w:rPr>
            </w:pPr>
          </w:p>
        </w:tc>
      </w:tr>
      <w:tr w:rsidR="007D4909" w:rsidRPr="00964ADF" w14:paraId="29B3E913" w14:textId="77777777" w:rsidTr="00AB77C6">
        <w:tc>
          <w:tcPr>
            <w:tcW w:w="645" w:type="dxa"/>
          </w:tcPr>
          <w:p w14:paraId="1A5CA132" w14:textId="4069AA43" w:rsidR="001A588D" w:rsidRPr="00964ADF" w:rsidRDefault="001A588D" w:rsidP="00964ADF">
            <w:pPr>
              <w:spacing w:before="120"/>
              <w:rPr>
                <w:rFonts w:ascii="Arial" w:hAnsi="Arial" w:cs="Arial"/>
              </w:rPr>
            </w:pPr>
            <w:r w:rsidRPr="00964ADF">
              <w:rPr>
                <w:rFonts w:ascii="Arial" w:hAnsi="Arial" w:cs="Arial"/>
                <w:sz w:val="22"/>
                <w:szCs w:val="22"/>
              </w:rPr>
              <w:t>2.1</w:t>
            </w:r>
          </w:p>
        </w:tc>
        <w:tc>
          <w:tcPr>
            <w:tcW w:w="8706" w:type="dxa"/>
          </w:tcPr>
          <w:p w14:paraId="6EA0CBB6" w14:textId="10CDFB1B" w:rsidR="005747D1" w:rsidRPr="00964ADF" w:rsidRDefault="002C2F92" w:rsidP="00651982">
            <w:pPr>
              <w:spacing w:before="120" w:after="120"/>
              <w:rPr>
                <w:rFonts w:ascii="Arial" w:hAnsi="Arial" w:cs="Arial"/>
              </w:rPr>
            </w:pPr>
            <w:r>
              <w:rPr>
                <w:rFonts w:ascii="Arial" w:hAnsi="Arial" w:cs="Arial"/>
              </w:rPr>
              <w:t>This report proposes updates to the PSB’s Terms of Refe</w:t>
            </w:r>
            <w:r w:rsidR="0090705A">
              <w:rPr>
                <w:rFonts w:ascii="Arial" w:hAnsi="Arial" w:cs="Arial"/>
              </w:rPr>
              <w:t>ren</w:t>
            </w:r>
            <w:r>
              <w:rPr>
                <w:rFonts w:ascii="Arial" w:hAnsi="Arial" w:cs="Arial"/>
              </w:rPr>
              <w:t>ce to reflect the agreed Areas of Focus, and the formation of a leadership grou</w:t>
            </w:r>
            <w:r w:rsidR="000165C2">
              <w:rPr>
                <w:rFonts w:ascii="Arial" w:hAnsi="Arial" w:cs="Arial"/>
              </w:rPr>
              <w:t>p</w:t>
            </w:r>
            <w:r w:rsidR="0016423A">
              <w:rPr>
                <w:rFonts w:ascii="Arial" w:hAnsi="Arial" w:cs="Arial"/>
              </w:rPr>
              <w:t>, as requested at the September PSB meeting</w:t>
            </w:r>
            <w:r w:rsidR="006427D7">
              <w:rPr>
                <w:rFonts w:ascii="Arial" w:hAnsi="Arial" w:cs="Arial"/>
              </w:rPr>
              <w:t xml:space="preserve">. </w:t>
            </w:r>
          </w:p>
        </w:tc>
      </w:tr>
      <w:tr w:rsidR="002C2F92" w:rsidRPr="00964ADF" w14:paraId="015FD0CB" w14:textId="77777777" w:rsidTr="00AB77C6">
        <w:tc>
          <w:tcPr>
            <w:tcW w:w="645" w:type="dxa"/>
          </w:tcPr>
          <w:p w14:paraId="33DC616A" w14:textId="1E34D0AC" w:rsidR="002C2F92" w:rsidRPr="00964ADF" w:rsidRDefault="006427D7" w:rsidP="002C2F92">
            <w:pPr>
              <w:spacing w:before="120"/>
              <w:rPr>
                <w:rFonts w:ascii="Arial" w:hAnsi="Arial" w:cs="Arial"/>
                <w:sz w:val="22"/>
                <w:szCs w:val="22"/>
              </w:rPr>
            </w:pPr>
            <w:r>
              <w:rPr>
                <w:rFonts w:ascii="Arial" w:hAnsi="Arial" w:cs="Arial"/>
                <w:sz w:val="22"/>
                <w:szCs w:val="22"/>
              </w:rPr>
              <w:t>2.2</w:t>
            </w:r>
          </w:p>
        </w:tc>
        <w:tc>
          <w:tcPr>
            <w:tcW w:w="8706" w:type="dxa"/>
          </w:tcPr>
          <w:p w14:paraId="2891EDE2" w14:textId="432EBB76" w:rsidR="002C2F92" w:rsidRPr="00964ADF" w:rsidRDefault="002C2F92" w:rsidP="002C2F92">
            <w:pPr>
              <w:spacing w:before="120" w:after="120"/>
              <w:rPr>
                <w:rFonts w:ascii="Arial" w:hAnsi="Arial" w:cs="Arial"/>
              </w:rPr>
            </w:pPr>
            <w:r w:rsidRPr="00964ADF">
              <w:rPr>
                <w:rFonts w:ascii="Arial" w:hAnsi="Arial" w:cs="Arial"/>
              </w:rPr>
              <w:t xml:space="preserve">This report </w:t>
            </w:r>
            <w:r w:rsidR="0090705A">
              <w:rPr>
                <w:rFonts w:ascii="Arial" w:hAnsi="Arial" w:cs="Arial"/>
              </w:rPr>
              <w:t xml:space="preserve">also </w:t>
            </w:r>
            <w:r w:rsidRPr="00964ADF">
              <w:rPr>
                <w:rFonts w:ascii="Arial" w:hAnsi="Arial" w:cs="Arial"/>
              </w:rPr>
              <w:t xml:space="preserve">proposes a schedule for the Gwent PSB to receive updates on the development and progress of work to deliver the four </w:t>
            </w:r>
            <w:r w:rsidR="000165C2">
              <w:rPr>
                <w:rFonts w:ascii="Arial" w:hAnsi="Arial" w:cs="Arial"/>
              </w:rPr>
              <w:t>a</w:t>
            </w:r>
            <w:r w:rsidRPr="00964ADF">
              <w:rPr>
                <w:rFonts w:ascii="Arial" w:hAnsi="Arial" w:cs="Arial"/>
              </w:rPr>
              <w:t xml:space="preserve">greed Areas of Focus. </w:t>
            </w:r>
          </w:p>
        </w:tc>
      </w:tr>
      <w:tr w:rsidR="002C2F92" w:rsidRPr="00964ADF" w14:paraId="606839BE" w14:textId="77777777" w:rsidTr="00AB77C6">
        <w:tc>
          <w:tcPr>
            <w:tcW w:w="645" w:type="dxa"/>
          </w:tcPr>
          <w:p w14:paraId="2DD0DFF4" w14:textId="5D037995" w:rsidR="002C2F92" w:rsidRPr="00964ADF" w:rsidRDefault="002C2F92" w:rsidP="002C2F92">
            <w:pPr>
              <w:spacing w:before="120"/>
              <w:rPr>
                <w:rFonts w:ascii="Arial" w:hAnsi="Arial" w:cs="Arial"/>
              </w:rPr>
            </w:pPr>
            <w:r w:rsidRPr="00964ADF">
              <w:rPr>
                <w:rFonts w:ascii="Arial" w:hAnsi="Arial" w:cs="Arial"/>
                <w:sz w:val="22"/>
                <w:szCs w:val="22"/>
              </w:rPr>
              <w:t>2.</w:t>
            </w:r>
            <w:r w:rsidR="000165C2">
              <w:rPr>
                <w:rFonts w:ascii="Arial" w:hAnsi="Arial" w:cs="Arial"/>
                <w:sz w:val="22"/>
                <w:szCs w:val="22"/>
              </w:rPr>
              <w:t>3</w:t>
            </w:r>
          </w:p>
        </w:tc>
        <w:tc>
          <w:tcPr>
            <w:tcW w:w="8706" w:type="dxa"/>
          </w:tcPr>
          <w:p w14:paraId="412C6D41" w14:textId="6F45BFA3" w:rsidR="002C2F92" w:rsidRPr="00964ADF" w:rsidRDefault="002C2F92" w:rsidP="002C2F92">
            <w:pPr>
              <w:spacing w:before="120" w:after="120"/>
              <w:rPr>
                <w:rFonts w:ascii="Arial" w:hAnsi="Arial" w:cs="Arial"/>
              </w:rPr>
            </w:pPr>
            <w:r w:rsidRPr="00964ADF">
              <w:rPr>
                <w:rFonts w:ascii="Arial" w:hAnsi="Arial" w:cs="Arial"/>
              </w:rPr>
              <w:t xml:space="preserve">This approach will allow the PSB to have oversight of the work being undertaken by each of these areas, </w:t>
            </w:r>
            <w:r w:rsidR="000165C2" w:rsidRPr="00964ADF">
              <w:rPr>
                <w:rFonts w:ascii="Arial" w:hAnsi="Arial" w:cs="Arial"/>
              </w:rPr>
              <w:t xml:space="preserve">as </w:t>
            </w:r>
            <w:r w:rsidRPr="00964ADF">
              <w:rPr>
                <w:rFonts w:ascii="Arial" w:hAnsi="Arial" w:cs="Arial"/>
              </w:rPr>
              <w:t xml:space="preserve">well unblock challenges and ensure links are being made across organisations and programmes. </w:t>
            </w:r>
          </w:p>
        </w:tc>
      </w:tr>
      <w:tr w:rsidR="002C2F92" w:rsidRPr="00964ADF" w14:paraId="6E183901" w14:textId="77777777" w:rsidTr="00AB77C6">
        <w:tc>
          <w:tcPr>
            <w:tcW w:w="645" w:type="dxa"/>
          </w:tcPr>
          <w:p w14:paraId="68752036" w14:textId="77777777" w:rsidR="002C2F92" w:rsidRPr="00964ADF" w:rsidRDefault="002C2F92" w:rsidP="002C2F92">
            <w:pPr>
              <w:rPr>
                <w:rFonts w:ascii="Arial" w:hAnsi="Arial" w:cs="Arial"/>
              </w:rPr>
            </w:pPr>
          </w:p>
        </w:tc>
        <w:tc>
          <w:tcPr>
            <w:tcW w:w="8706" w:type="dxa"/>
          </w:tcPr>
          <w:p w14:paraId="7061AC34" w14:textId="77777777" w:rsidR="002C2F92" w:rsidRPr="00964ADF" w:rsidRDefault="002C2F92" w:rsidP="002C2F92">
            <w:pPr>
              <w:rPr>
                <w:rFonts w:ascii="Arial" w:hAnsi="Arial" w:cs="Arial"/>
                <w:sz w:val="22"/>
                <w:szCs w:val="22"/>
              </w:rPr>
            </w:pPr>
          </w:p>
        </w:tc>
      </w:tr>
      <w:tr w:rsidR="002C2F92" w:rsidRPr="00964ADF" w14:paraId="2A46ECA0" w14:textId="77777777" w:rsidTr="00AB77C6">
        <w:tc>
          <w:tcPr>
            <w:tcW w:w="645" w:type="dxa"/>
          </w:tcPr>
          <w:p w14:paraId="08FF8E60" w14:textId="2BB97702" w:rsidR="002C2F92" w:rsidRPr="00964ADF" w:rsidRDefault="002C2F92" w:rsidP="002C2F92">
            <w:pPr>
              <w:rPr>
                <w:rFonts w:ascii="Arial" w:hAnsi="Arial" w:cs="Arial"/>
                <w:b/>
                <w:bCs/>
              </w:rPr>
            </w:pPr>
            <w:r w:rsidRPr="00964ADF">
              <w:rPr>
                <w:rFonts w:ascii="Arial" w:hAnsi="Arial" w:cs="Arial"/>
                <w:b/>
                <w:bCs/>
              </w:rPr>
              <w:t>3</w:t>
            </w:r>
          </w:p>
        </w:tc>
        <w:tc>
          <w:tcPr>
            <w:tcW w:w="8706" w:type="dxa"/>
          </w:tcPr>
          <w:p w14:paraId="4F05BD95" w14:textId="22F6BA98" w:rsidR="002C2F92" w:rsidRPr="00964ADF" w:rsidRDefault="002C2F92" w:rsidP="002C2F92">
            <w:pPr>
              <w:rPr>
                <w:rFonts w:ascii="Arial" w:hAnsi="Arial" w:cs="Arial"/>
                <w:b/>
                <w:bCs/>
              </w:rPr>
            </w:pPr>
            <w:r w:rsidRPr="00964ADF">
              <w:rPr>
                <w:rFonts w:ascii="Arial" w:hAnsi="Arial" w:cs="Arial"/>
                <w:b/>
                <w:bCs/>
              </w:rPr>
              <w:t>Background</w:t>
            </w:r>
          </w:p>
        </w:tc>
      </w:tr>
      <w:tr w:rsidR="002C2F92" w:rsidRPr="00964ADF" w14:paraId="75F3FEE4" w14:textId="77777777" w:rsidTr="00AB77C6">
        <w:tc>
          <w:tcPr>
            <w:tcW w:w="645" w:type="dxa"/>
          </w:tcPr>
          <w:p w14:paraId="257AC0C1" w14:textId="77777777" w:rsidR="002C2F92" w:rsidRPr="00964ADF" w:rsidRDefault="002C2F92" w:rsidP="002C2F92">
            <w:pPr>
              <w:rPr>
                <w:rFonts w:ascii="Arial" w:hAnsi="Arial" w:cs="Arial"/>
                <w:b/>
                <w:bCs/>
              </w:rPr>
            </w:pPr>
          </w:p>
        </w:tc>
        <w:tc>
          <w:tcPr>
            <w:tcW w:w="8706" w:type="dxa"/>
          </w:tcPr>
          <w:p w14:paraId="71416CB3" w14:textId="77777777" w:rsidR="002C2F92" w:rsidRPr="00964ADF" w:rsidRDefault="002C2F92" w:rsidP="002C2F92">
            <w:pPr>
              <w:rPr>
                <w:rFonts w:ascii="Arial" w:hAnsi="Arial" w:cs="Arial"/>
                <w:b/>
                <w:bCs/>
              </w:rPr>
            </w:pPr>
          </w:p>
        </w:tc>
      </w:tr>
      <w:tr w:rsidR="002C2F92" w:rsidRPr="00964ADF" w14:paraId="56B1063B" w14:textId="77777777" w:rsidTr="00AB77C6">
        <w:tc>
          <w:tcPr>
            <w:tcW w:w="645" w:type="dxa"/>
          </w:tcPr>
          <w:p w14:paraId="4CD26BDF" w14:textId="7340BFBA" w:rsidR="002C2F92" w:rsidRPr="00964ADF" w:rsidRDefault="002C2F92" w:rsidP="002C2F92">
            <w:pPr>
              <w:spacing w:before="120"/>
              <w:rPr>
                <w:rFonts w:ascii="Arial" w:hAnsi="Arial" w:cs="Arial"/>
              </w:rPr>
            </w:pPr>
            <w:r w:rsidRPr="00964ADF">
              <w:rPr>
                <w:rFonts w:ascii="Arial" w:hAnsi="Arial" w:cs="Arial"/>
                <w:sz w:val="22"/>
                <w:szCs w:val="22"/>
              </w:rPr>
              <w:t>3.1</w:t>
            </w:r>
          </w:p>
        </w:tc>
        <w:tc>
          <w:tcPr>
            <w:tcW w:w="8706" w:type="dxa"/>
          </w:tcPr>
          <w:p w14:paraId="3F811936" w14:textId="009EE64B" w:rsidR="002C2F92" w:rsidRPr="00964ADF" w:rsidRDefault="002C2F92" w:rsidP="002C2F92">
            <w:pPr>
              <w:spacing w:before="120" w:after="120"/>
              <w:rPr>
                <w:rFonts w:ascii="Arial" w:hAnsi="Arial" w:cs="Arial"/>
              </w:rPr>
            </w:pPr>
            <w:r w:rsidRPr="00964ADF">
              <w:rPr>
                <w:rFonts w:ascii="Arial" w:hAnsi="Arial" w:cs="Arial"/>
              </w:rPr>
              <w:t xml:space="preserve">The Gwent PSB has agreed its four Areas of </w:t>
            </w:r>
            <w:r w:rsidR="006F509F">
              <w:rPr>
                <w:rFonts w:ascii="Arial" w:hAnsi="Arial" w:cs="Arial"/>
              </w:rPr>
              <w:t>Focus</w:t>
            </w:r>
            <w:r w:rsidRPr="00964ADF">
              <w:rPr>
                <w:rFonts w:ascii="Arial" w:hAnsi="Arial" w:cs="Arial"/>
              </w:rPr>
              <w:t xml:space="preserve"> and an approach to delivering these. </w:t>
            </w:r>
          </w:p>
        </w:tc>
      </w:tr>
      <w:tr w:rsidR="00EB4715" w:rsidRPr="00964ADF" w14:paraId="2AEA299E" w14:textId="77777777" w:rsidTr="00AB77C6">
        <w:tc>
          <w:tcPr>
            <w:tcW w:w="645" w:type="dxa"/>
          </w:tcPr>
          <w:p w14:paraId="2D82B224" w14:textId="19C12B99" w:rsidR="00EB4715" w:rsidRPr="00964ADF" w:rsidRDefault="00EB4715" w:rsidP="002C2F92">
            <w:pPr>
              <w:spacing w:before="120"/>
              <w:rPr>
                <w:rFonts w:ascii="Arial" w:hAnsi="Arial" w:cs="Arial"/>
                <w:sz w:val="22"/>
                <w:szCs w:val="22"/>
              </w:rPr>
            </w:pPr>
            <w:r>
              <w:rPr>
                <w:rFonts w:ascii="Arial" w:hAnsi="Arial" w:cs="Arial"/>
                <w:sz w:val="22"/>
                <w:szCs w:val="22"/>
              </w:rPr>
              <w:t>3.2</w:t>
            </w:r>
          </w:p>
        </w:tc>
        <w:tc>
          <w:tcPr>
            <w:tcW w:w="8706" w:type="dxa"/>
          </w:tcPr>
          <w:p w14:paraId="09F8DAAF" w14:textId="14140B5B" w:rsidR="00EB4715" w:rsidRPr="00964ADF" w:rsidRDefault="00B22B83" w:rsidP="002C2F92">
            <w:pPr>
              <w:spacing w:before="120" w:after="120"/>
              <w:rPr>
                <w:rFonts w:ascii="Arial" w:hAnsi="Arial" w:cs="Arial"/>
              </w:rPr>
            </w:pPr>
            <w:r>
              <w:rPr>
                <w:rFonts w:ascii="Arial" w:hAnsi="Arial" w:cs="Arial"/>
              </w:rPr>
              <w:t>The Terms of Refe</w:t>
            </w:r>
            <w:r w:rsidR="006F628B">
              <w:rPr>
                <w:rFonts w:ascii="Arial" w:hAnsi="Arial" w:cs="Arial"/>
              </w:rPr>
              <w:t>re</w:t>
            </w:r>
            <w:r>
              <w:rPr>
                <w:rFonts w:ascii="Arial" w:hAnsi="Arial" w:cs="Arial"/>
              </w:rPr>
              <w:t xml:space="preserve">nce </w:t>
            </w:r>
            <w:r w:rsidR="00D24FB7">
              <w:rPr>
                <w:rFonts w:ascii="Arial" w:hAnsi="Arial" w:cs="Arial"/>
              </w:rPr>
              <w:t>have been updated,</w:t>
            </w:r>
            <w:r>
              <w:rPr>
                <w:rFonts w:ascii="Arial" w:hAnsi="Arial" w:cs="Arial"/>
              </w:rPr>
              <w:t xml:space="preserve"> in sections 4</w:t>
            </w:r>
            <w:r w:rsidR="00D24FB7">
              <w:rPr>
                <w:rFonts w:ascii="Arial" w:hAnsi="Arial" w:cs="Arial"/>
              </w:rPr>
              <w:t xml:space="preserve">4 – 47, to reflect the </w:t>
            </w:r>
            <w:r w:rsidR="006F509F">
              <w:rPr>
                <w:rFonts w:ascii="Arial" w:hAnsi="Arial" w:cs="Arial"/>
              </w:rPr>
              <w:t xml:space="preserve">Areas of Focus groups and new leadership group. </w:t>
            </w:r>
          </w:p>
        </w:tc>
      </w:tr>
      <w:tr w:rsidR="002C2F92" w:rsidRPr="00964ADF" w14:paraId="2984DB5A" w14:textId="77777777" w:rsidTr="00AB77C6">
        <w:tc>
          <w:tcPr>
            <w:tcW w:w="645" w:type="dxa"/>
          </w:tcPr>
          <w:p w14:paraId="68CB5691" w14:textId="7EEB6084" w:rsidR="002C2F92" w:rsidRPr="00964ADF" w:rsidRDefault="002C2F92" w:rsidP="002C2F92">
            <w:pPr>
              <w:spacing w:before="120"/>
              <w:rPr>
                <w:rFonts w:ascii="Arial" w:hAnsi="Arial" w:cs="Arial"/>
                <w:sz w:val="22"/>
                <w:szCs w:val="22"/>
              </w:rPr>
            </w:pPr>
            <w:r w:rsidRPr="00964ADF">
              <w:rPr>
                <w:rFonts w:ascii="Arial" w:hAnsi="Arial" w:cs="Arial"/>
                <w:sz w:val="22"/>
                <w:szCs w:val="22"/>
              </w:rPr>
              <w:t>3.</w:t>
            </w:r>
            <w:r w:rsidR="00882493">
              <w:rPr>
                <w:rFonts w:ascii="Arial" w:hAnsi="Arial" w:cs="Arial"/>
                <w:sz w:val="22"/>
                <w:szCs w:val="22"/>
              </w:rPr>
              <w:t>3</w:t>
            </w:r>
          </w:p>
        </w:tc>
        <w:tc>
          <w:tcPr>
            <w:tcW w:w="8706" w:type="dxa"/>
          </w:tcPr>
          <w:p w14:paraId="5BC4D74F" w14:textId="1272E72A" w:rsidR="002C2F92" w:rsidRPr="00964ADF" w:rsidRDefault="002C2F92" w:rsidP="002C2F92">
            <w:pPr>
              <w:spacing w:before="120" w:after="120"/>
              <w:rPr>
                <w:rFonts w:ascii="Arial" w:hAnsi="Arial" w:cs="Arial"/>
              </w:rPr>
            </w:pPr>
            <w:r w:rsidRPr="00964ADF">
              <w:rPr>
                <w:rFonts w:ascii="Arial" w:hAnsi="Arial" w:cs="Arial"/>
              </w:rPr>
              <w:t xml:space="preserve">Tracy </w:t>
            </w:r>
            <w:r w:rsidRPr="00964ADF">
              <w:rPr>
                <w:rFonts w:ascii="Arial" w:hAnsi="Arial"/>
              </w:rPr>
              <w:t xml:space="preserve">Daszkiewicz and Steve Morgan have agreed to </w:t>
            </w:r>
            <w:r w:rsidRPr="00964ADF">
              <w:rPr>
                <w:rFonts w:ascii="Arial" w:hAnsi="Arial" w:cs="Arial"/>
              </w:rPr>
              <w:t xml:space="preserve">lead the work on </w:t>
            </w:r>
            <w:r w:rsidRPr="00964ADF">
              <w:rPr>
                <w:rFonts w:ascii="Arial" w:hAnsi="Arial" w:cs="Arial"/>
                <w:i/>
                <w:iCs/>
              </w:rPr>
              <w:t>That every child has the best start in life</w:t>
            </w:r>
            <w:r w:rsidRPr="00964ADF">
              <w:rPr>
                <w:rFonts w:ascii="Arial" w:hAnsi="Arial" w:cs="Arial"/>
              </w:rPr>
              <w:t xml:space="preserve"> and </w:t>
            </w:r>
            <w:r w:rsidRPr="00964ADF">
              <w:rPr>
                <w:rFonts w:ascii="Arial" w:hAnsi="Arial" w:cs="Arial"/>
                <w:i/>
                <w:iCs/>
              </w:rPr>
              <w:t>That everyone lives in a climate-ready community where their environment is valued and protected,</w:t>
            </w:r>
            <w:r w:rsidRPr="00964ADF">
              <w:rPr>
                <w:rFonts w:ascii="Arial" w:hAnsi="Arial" w:cs="Arial"/>
              </w:rPr>
              <w:t xml:space="preserve"> and regularly update the PSB. Leads for the remaining Areas of Focus are still to be agreed.</w:t>
            </w:r>
          </w:p>
        </w:tc>
      </w:tr>
      <w:tr w:rsidR="002C2F92" w:rsidRPr="00964ADF" w14:paraId="1937D348" w14:textId="77777777" w:rsidTr="00AB77C6">
        <w:tc>
          <w:tcPr>
            <w:tcW w:w="645" w:type="dxa"/>
          </w:tcPr>
          <w:p w14:paraId="6048E890" w14:textId="60BB93E1" w:rsidR="002C2F92" w:rsidRPr="00964ADF" w:rsidRDefault="002C2F92" w:rsidP="002C2F92">
            <w:pPr>
              <w:spacing w:before="120"/>
              <w:rPr>
                <w:rFonts w:ascii="Arial" w:hAnsi="Arial" w:cs="Arial"/>
              </w:rPr>
            </w:pPr>
            <w:r w:rsidRPr="00964ADF">
              <w:rPr>
                <w:rFonts w:ascii="Arial" w:hAnsi="Arial" w:cs="Arial"/>
                <w:sz w:val="22"/>
                <w:szCs w:val="22"/>
              </w:rPr>
              <w:t>3.</w:t>
            </w:r>
            <w:r w:rsidR="00882493">
              <w:rPr>
                <w:rFonts w:ascii="Arial" w:hAnsi="Arial" w:cs="Arial"/>
                <w:sz w:val="22"/>
                <w:szCs w:val="22"/>
              </w:rPr>
              <w:t>4</w:t>
            </w:r>
          </w:p>
        </w:tc>
        <w:tc>
          <w:tcPr>
            <w:tcW w:w="8706" w:type="dxa"/>
          </w:tcPr>
          <w:p w14:paraId="680EC210" w14:textId="7B06CFBA" w:rsidR="002C2F92" w:rsidRPr="00964ADF" w:rsidRDefault="002C2F92" w:rsidP="002C2F92">
            <w:pPr>
              <w:spacing w:before="120" w:after="120"/>
              <w:jc w:val="both"/>
              <w:rPr>
                <w:rFonts w:ascii="Arial" w:hAnsi="Arial" w:cs="Arial"/>
              </w:rPr>
            </w:pPr>
            <w:r w:rsidRPr="00964ADF">
              <w:rPr>
                <w:rFonts w:ascii="Arial" w:hAnsi="Arial" w:cs="Arial"/>
              </w:rPr>
              <w:t>In order to ensure that each Area of Focus is delivering on the PSB’s ambitions, and that there is a regular rhythm of reporting to the PSB and scrutiny, the following schedule is proposed. Each PSB meeting will receive an update on the work of two of the Areas of Focus in rotation. Initially, this will be to agree the outline proposal and then a more detailed work program</w:t>
            </w:r>
            <w:r w:rsidR="00A23711">
              <w:rPr>
                <w:rFonts w:ascii="Arial" w:hAnsi="Arial" w:cs="Arial"/>
              </w:rPr>
              <w:t>me</w:t>
            </w:r>
            <w:r w:rsidRPr="00964ADF">
              <w:rPr>
                <w:rFonts w:ascii="Arial" w:hAnsi="Arial" w:cs="Arial"/>
              </w:rPr>
              <w:t xml:space="preserve">. </w:t>
            </w:r>
          </w:p>
        </w:tc>
      </w:tr>
      <w:tr w:rsidR="002C2F92" w:rsidRPr="00964ADF" w14:paraId="755846C7" w14:textId="77777777" w:rsidTr="00AB77C6">
        <w:tc>
          <w:tcPr>
            <w:tcW w:w="645" w:type="dxa"/>
          </w:tcPr>
          <w:p w14:paraId="5E6D43ED" w14:textId="035AD52C" w:rsidR="002C2F92" w:rsidRPr="00964ADF" w:rsidRDefault="002C2F92" w:rsidP="002C2F92">
            <w:pPr>
              <w:spacing w:before="120"/>
              <w:rPr>
                <w:rFonts w:ascii="Arial" w:hAnsi="Arial" w:cs="Arial"/>
                <w:sz w:val="22"/>
                <w:szCs w:val="22"/>
              </w:rPr>
            </w:pPr>
            <w:r w:rsidRPr="00964ADF">
              <w:rPr>
                <w:rFonts w:ascii="Arial" w:hAnsi="Arial" w:cs="Arial"/>
                <w:sz w:val="22"/>
                <w:szCs w:val="22"/>
              </w:rPr>
              <w:lastRenderedPageBreak/>
              <w:t>3.</w:t>
            </w:r>
            <w:r w:rsidR="00882493">
              <w:rPr>
                <w:rFonts w:ascii="Arial" w:hAnsi="Arial" w:cs="Arial"/>
                <w:sz w:val="22"/>
                <w:szCs w:val="22"/>
              </w:rPr>
              <w:t>5</w:t>
            </w:r>
          </w:p>
        </w:tc>
        <w:tc>
          <w:tcPr>
            <w:tcW w:w="8706" w:type="dxa"/>
          </w:tcPr>
          <w:p w14:paraId="20D3B876" w14:textId="4F5C1DC9" w:rsidR="002C2F92" w:rsidRPr="00964ADF" w:rsidRDefault="002C2F92" w:rsidP="002C2F92">
            <w:pPr>
              <w:spacing w:before="120" w:after="120"/>
              <w:rPr>
                <w:rFonts w:ascii="Arial" w:hAnsi="Arial" w:cs="Arial"/>
                <w:sz w:val="22"/>
                <w:szCs w:val="22"/>
              </w:rPr>
            </w:pPr>
            <w:r w:rsidRPr="00964ADF">
              <w:rPr>
                <w:rFonts w:ascii="Arial" w:hAnsi="Arial" w:cs="Arial"/>
              </w:rPr>
              <w:t>Once work in each of the Areas of Focus are agreed</w:t>
            </w:r>
            <w:r w:rsidR="00A23711">
              <w:rPr>
                <w:rFonts w:ascii="Arial" w:hAnsi="Arial" w:cs="Arial"/>
              </w:rPr>
              <w:t>,</w:t>
            </w:r>
            <w:r w:rsidRPr="00964ADF">
              <w:rPr>
                <w:rFonts w:ascii="Arial" w:hAnsi="Arial" w:cs="Arial"/>
              </w:rPr>
              <w:t xml:space="preserve"> the lead will provide a quarterly written update for circulation with the meeting papers. These will be for noting only. </w:t>
            </w:r>
          </w:p>
        </w:tc>
      </w:tr>
      <w:tr w:rsidR="00F60B0C" w:rsidRPr="00964ADF" w14:paraId="1B2F292A" w14:textId="77777777" w:rsidTr="00AB77C6">
        <w:tc>
          <w:tcPr>
            <w:tcW w:w="645" w:type="dxa"/>
          </w:tcPr>
          <w:p w14:paraId="08B3F85C" w14:textId="6814BC39" w:rsidR="00F60B0C" w:rsidRPr="00964ADF" w:rsidRDefault="00F60B0C" w:rsidP="002C2F92">
            <w:pPr>
              <w:spacing w:before="120"/>
              <w:rPr>
                <w:rFonts w:ascii="Arial" w:hAnsi="Arial" w:cs="Arial"/>
                <w:sz w:val="22"/>
                <w:szCs w:val="22"/>
              </w:rPr>
            </w:pPr>
            <w:r w:rsidRPr="00964ADF">
              <w:rPr>
                <w:rFonts w:ascii="Arial" w:hAnsi="Arial" w:cs="Arial"/>
                <w:sz w:val="22"/>
                <w:szCs w:val="22"/>
              </w:rPr>
              <w:t>3.</w:t>
            </w:r>
            <w:r w:rsidR="00882493">
              <w:rPr>
                <w:rFonts w:ascii="Arial" w:hAnsi="Arial" w:cs="Arial"/>
                <w:sz w:val="22"/>
                <w:szCs w:val="22"/>
              </w:rPr>
              <w:t>6</w:t>
            </w:r>
          </w:p>
        </w:tc>
        <w:tc>
          <w:tcPr>
            <w:tcW w:w="8706" w:type="dxa"/>
          </w:tcPr>
          <w:p w14:paraId="7B4B84B6" w14:textId="2EA9C319" w:rsidR="00F60B0C" w:rsidRPr="00964ADF" w:rsidRDefault="00F60B0C" w:rsidP="002C2F92">
            <w:pPr>
              <w:spacing w:before="120" w:after="120"/>
              <w:rPr>
                <w:rFonts w:ascii="Arial" w:hAnsi="Arial" w:cs="Arial"/>
              </w:rPr>
            </w:pPr>
            <w:r w:rsidRPr="00964ADF">
              <w:rPr>
                <w:rFonts w:ascii="Arial" w:hAnsi="Arial" w:cs="Arial"/>
              </w:rPr>
              <w:t>In exceptional circumstances, an Area of Focus lead may ask the PSB to intervene or make suggestions for how to unblock an issue. Any request would need to be made to the Chair in advance of the meeting.</w:t>
            </w:r>
          </w:p>
        </w:tc>
      </w:tr>
      <w:tr w:rsidR="002C2F92" w:rsidRPr="00964ADF" w14:paraId="4C6C5560" w14:textId="77777777" w:rsidTr="00AB77C6">
        <w:tc>
          <w:tcPr>
            <w:tcW w:w="645" w:type="dxa"/>
          </w:tcPr>
          <w:p w14:paraId="054B8352" w14:textId="6B96083A" w:rsidR="002C2F92" w:rsidRPr="00964ADF" w:rsidRDefault="00F60B0C" w:rsidP="002C2F92">
            <w:pPr>
              <w:spacing w:before="120"/>
              <w:rPr>
                <w:rFonts w:ascii="Arial" w:hAnsi="Arial" w:cs="Arial"/>
                <w:sz w:val="22"/>
                <w:szCs w:val="22"/>
              </w:rPr>
            </w:pPr>
            <w:r w:rsidRPr="00964ADF">
              <w:rPr>
                <w:rFonts w:ascii="Arial" w:hAnsi="Arial" w:cs="Arial"/>
                <w:sz w:val="22"/>
                <w:szCs w:val="22"/>
              </w:rPr>
              <w:t>3.</w:t>
            </w:r>
            <w:r w:rsidR="00882493">
              <w:rPr>
                <w:rFonts w:ascii="Arial" w:hAnsi="Arial" w:cs="Arial"/>
                <w:sz w:val="22"/>
                <w:szCs w:val="22"/>
              </w:rPr>
              <w:t>7</w:t>
            </w:r>
          </w:p>
        </w:tc>
        <w:tc>
          <w:tcPr>
            <w:tcW w:w="8706" w:type="dxa"/>
          </w:tcPr>
          <w:p w14:paraId="3CF98B93" w14:textId="3B4899C1" w:rsidR="002C2F92" w:rsidRPr="00964ADF" w:rsidRDefault="002C2F92" w:rsidP="002C2F92">
            <w:pPr>
              <w:spacing w:before="120" w:after="120"/>
              <w:rPr>
                <w:rFonts w:ascii="Arial" w:hAnsi="Arial" w:cs="Arial"/>
              </w:rPr>
            </w:pPr>
            <w:r w:rsidRPr="0050551E">
              <w:rPr>
                <w:rFonts w:ascii="Arial" w:hAnsi="Arial" w:cs="Arial"/>
              </w:rPr>
              <w:t>A more in-depth update on two of the Areas of Focus will be given at each PSB meeting. This will allow PSB members to ask questions and provide feedback from their organisation.</w:t>
            </w:r>
            <w:r w:rsidRPr="00964ADF">
              <w:rPr>
                <w:rFonts w:ascii="Arial" w:hAnsi="Arial" w:cs="Arial"/>
              </w:rPr>
              <w:t xml:space="preserve"> </w:t>
            </w:r>
          </w:p>
        </w:tc>
      </w:tr>
      <w:tr w:rsidR="002C2F92" w:rsidRPr="00964ADF" w14:paraId="08A9F987" w14:textId="77777777" w:rsidTr="00AB77C6">
        <w:tc>
          <w:tcPr>
            <w:tcW w:w="645" w:type="dxa"/>
          </w:tcPr>
          <w:p w14:paraId="3E7278E4" w14:textId="59EB1E1D" w:rsidR="002C2F92" w:rsidRPr="00964ADF" w:rsidRDefault="002C2F92" w:rsidP="002C2F92">
            <w:pPr>
              <w:spacing w:before="120"/>
              <w:rPr>
                <w:rFonts w:ascii="Arial" w:hAnsi="Arial" w:cs="Arial"/>
                <w:sz w:val="22"/>
                <w:szCs w:val="22"/>
              </w:rPr>
            </w:pPr>
            <w:r w:rsidRPr="00964ADF">
              <w:rPr>
                <w:rFonts w:ascii="Arial" w:hAnsi="Arial" w:cs="Arial"/>
                <w:sz w:val="22"/>
                <w:szCs w:val="22"/>
              </w:rPr>
              <w:t>3.</w:t>
            </w:r>
            <w:r w:rsidR="00882493">
              <w:rPr>
                <w:rFonts w:ascii="Arial" w:hAnsi="Arial" w:cs="Arial"/>
                <w:sz w:val="22"/>
                <w:szCs w:val="22"/>
              </w:rPr>
              <w:t>8</w:t>
            </w:r>
          </w:p>
        </w:tc>
        <w:tc>
          <w:tcPr>
            <w:tcW w:w="8706" w:type="dxa"/>
          </w:tcPr>
          <w:p w14:paraId="554C902C" w14:textId="132B2143" w:rsidR="002C2F92" w:rsidRPr="0050551E" w:rsidRDefault="002C2F92" w:rsidP="002C2F92">
            <w:pPr>
              <w:spacing w:before="120" w:after="120"/>
              <w:rPr>
                <w:rFonts w:ascii="Arial" w:hAnsi="Arial" w:cs="Arial"/>
              </w:rPr>
            </w:pPr>
            <w:r w:rsidRPr="0050551E">
              <w:rPr>
                <w:rFonts w:ascii="Arial" w:hAnsi="Arial" w:cs="Arial"/>
              </w:rPr>
              <w:t>Once all the Areas of Focus have been established and their work program</w:t>
            </w:r>
            <w:r w:rsidR="00F36D55">
              <w:rPr>
                <w:rFonts w:ascii="Arial" w:hAnsi="Arial" w:cs="Arial"/>
              </w:rPr>
              <w:t>me</w:t>
            </w:r>
            <w:r w:rsidRPr="0050551E">
              <w:rPr>
                <w:rFonts w:ascii="Arial" w:hAnsi="Arial" w:cs="Arial"/>
              </w:rPr>
              <w:t>s agreed, which it is anticipated will have taken place by summer 2025</w:t>
            </w:r>
            <w:r w:rsidR="00A23711">
              <w:rPr>
                <w:rFonts w:ascii="Arial" w:hAnsi="Arial" w:cs="Arial"/>
              </w:rPr>
              <w:t xml:space="preserve"> at the latest</w:t>
            </w:r>
            <w:r w:rsidRPr="0050551E">
              <w:rPr>
                <w:rFonts w:ascii="Arial" w:hAnsi="Arial" w:cs="Arial"/>
              </w:rPr>
              <w:t xml:space="preserve">, the reporting schedule will be as follows. </w:t>
            </w:r>
          </w:p>
          <w:p w14:paraId="5EBDC9C1" w14:textId="0F9DFF97" w:rsidR="002C2F92" w:rsidRPr="0050551E" w:rsidRDefault="002C2F92" w:rsidP="002C2F92">
            <w:pPr>
              <w:spacing w:before="120"/>
              <w:rPr>
                <w:rFonts w:ascii="Arial" w:hAnsi="Arial" w:cs="Arial"/>
              </w:rPr>
            </w:pPr>
            <w:r w:rsidRPr="0050551E">
              <w:rPr>
                <w:rFonts w:ascii="Arial" w:hAnsi="Arial" w:cs="Arial"/>
              </w:rPr>
              <w:t>March and September meetings:</w:t>
            </w:r>
          </w:p>
          <w:p w14:paraId="2842536E" w14:textId="341CE304" w:rsidR="002C2F92" w:rsidRPr="0050551E" w:rsidRDefault="002C2F92" w:rsidP="002C2F92">
            <w:pPr>
              <w:pStyle w:val="ListParagraph"/>
              <w:numPr>
                <w:ilvl w:val="0"/>
                <w:numId w:val="16"/>
              </w:numPr>
              <w:spacing w:after="120"/>
              <w:ind w:left="714" w:hanging="357"/>
              <w:rPr>
                <w:rFonts w:ascii="Arial" w:hAnsi="Arial" w:cs="Arial"/>
                <w:i/>
                <w:iCs/>
              </w:rPr>
            </w:pPr>
            <w:r w:rsidRPr="0050551E">
              <w:rPr>
                <w:rFonts w:ascii="Arial" w:hAnsi="Arial" w:cs="Arial"/>
                <w:i/>
                <w:iCs/>
              </w:rPr>
              <w:t>That every child has the best start in life</w:t>
            </w:r>
          </w:p>
          <w:p w14:paraId="661D5A84" w14:textId="228F24AE" w:rsidR="002C2F92" w:rsidRPr="0050551E" w:rsidRDefault="002C2F92" w:rsidP="002C2F92">
            <w:pPr>
              <w:pStyle w:val="ListParagraph"/>
              <w:numPr>
                <w:ilvl w:val="0"/>
                <w:numId w:val="16"/>
              </w:numPr>
              <w:spacing w:after="120"/>
              <w:ind w:left="714" w:hanging="357"/>
              <w:rPr>
                <w:rFonts w:ascii="Arial" w:hAnsi="Arial" w:cs="Arial"/>
                <w:i/>
                <w:iCs/>
              </w:rPr>
            </w:pPr>
            <w:r w:rsidRPr="0050551E">
              <w:rPr>
                <w:rFonts w:ascii="Arial" w:hAnsi="Arial" w:cs="Arial"/>
                <w:i/>
                <w:iCs/>
              </w:rPr>
              <w:t>That everyone has the same economic chances</w:t>
            </w:r>
          </w:p>
          <w:p w14:paraId="17D42881" w14:textId="77777777" w:rsidR="002C2F92" w:rsidRPr="0050551E" w:rsidRDefault="002C2F92" w:rsidP="002C2F92">
            <w:pPr>
              <w:spacing w:before="120" w:after="120"/>
              <w:rPr>
                <w:rFonts w:ascii="Arial" w:hAnsi="Arial" w:cs="Arial"/>
              </w:rPr>
            </w:pPr>
            <w:r w:rsidRPr="0050551E">
              <w:rPr>
                <w:rFonts w:ascii="Arial" w:hAnsi="Arial" w:cs="Arial"/>
              </w:rPr>
              <w:t>June and December meetings:</w:t>
            </w:r>
          </w:p>
          <w:p w14:paraId="66B7D6AD" w14:textId="77777777" w:rsidR="002C2F92" w:rsidRPr="0050551E" w:rsidRDefault="002C2F92" w:rsidP="002C2F92">
            <w:pPr>
              <w:pStyle w:val="ListParagraph"/>
              <w:numPr>
                <w:ilvl w:val="0"/>
                <w:numId w:val="17"/>
              </w:numPr>
              <w:spacing w:before="120" w:after="120"/>
              <w:rPr>
                <w:rFonts w:ascii="Arial" w:hAnsi="Arial" w:cs="Arial"/>
                <w:i/>
                <w:iCs/>
              </w:rPr>
            </w:pPr>
            <w:r w:rsidRPr="0050551E">
              <w:rPr>
                <w:rFonts w:ascii="Arial" w:hAnsi="Arial" w:cs="Arial"/>
                <w:i/>
                <w:iCs/>
              </w:rPr>
              <w:t>That everyone lives in a climate-ready community where their environment is valued and protected</w:t>
            </w:r>
          </w:p>
          <w:p w14:paraId="48949F24" w14:textId="6320DBA2" w:rsidR="002C2F92" w:rsidRPr="0050551E" w:rsidRDefault="002C2F92" w:rsidP="002C2F92">
            <w:pPr>
              <w:pStyle w:val="ListParagraph"/>
              <w:numPr>
                <w:ilvl w:val="0"/>
                <w:numId w:val="17"/>
              </w:numPr>
              <w:spacing w:before="120" w:after="120"/>
              <w:rPr>
                <w:rFonts w:ascii="Arial" w:hAnsi="Arial" w:cs="Arial"/>
                <w:i/>
                <w:iCs/>
              </w:rPr>
            </w:pPr>
            <w:r w:rsidRPr="0050551E">
              <w:rPr>
                <w:rFonts w:ascii="Arial" w:hAnsi="Arial" w:cs="Arial"/>
                <w:i/>
                <w:iCs/>
              </w:rPr>
              <w:t>That everyone lives in a place they feel safe</w:t>
            </w:r>
          </w:p>
        </w:tc>
      </w:tr>
      <w:tr w:rsidR="002C2F92" w:rsidRPr="00964ADF" w14:paraId="5E978E60" w14:textId="77777777" w:rsidTr="00AB77C6">
        <w:tc>
          <w:tcPr>
            <w:tcW w:w="645" w:type="dxa"/>
          </w:tcPr>
          <w:p w14:paraId="2DC4C93C" w14:textId="77777777" w:rsidR="002C2F92" w:rsidRPr="00964ADF" w:rsidRDefault="002C2F92" w:rsidP="002C2F92">
            <w:pPr>
              <w:rPr>
                <w:rFonts w:ascii="Arial" w:hAnsi="Arial" w:cs="Arial"/>
                <w:b/>
                <w:bCs/>
              </w:rPr>
            </w:pPr>
          </w:p>
        </w:tc>
        <w:tc>
          <w:tcPr>
            <w:tcW w:w="8706" w:type="dxa"/>
          </w:tcPr>
          <w:p w14:paraId="7168DA9C" w14:textId="76A0F23B" w:rsidR="002C2F92" w:rsidRPr="00964ADF" w:rsidRDefault="002C2F92" w:rsidP="002C2F92">
            <w:pPr>
              <w:rPr>
                <w:rFonts w:ascii="Arial" w:hAnsi="Arial" w:cs="Arial"/>
                <w:b/>
                <w:bCs/>
              </w:rPr>
            </w:pPr>
          </w:p>
        </w:tc>
      </w:tr>
      <w:tr w:rsidR="002C2F92" w:rsidRPr="00964ADF" w14:paraId="35E45502" w14:textId="77777777" w:rsidTr="00AB77C6">
        <w:tc>
          <w:tcPr>
            <w:tcW w:w="645" w:type="dxa"/>
          </w:tcPr>
          <w:p w14:paraId="5EA25E02" w14:textId="15C56084" w:rsidR="002C2F92" w:rsidRPr="00964ADF" w:rsidRDefault="002C2F92" w:rsidP="002C2F92">
            <w:pPr>
              <w:rPr>
                <w:rFonts w:ascii="Arial" w:eastAsia="Arial" w:hAnsi="Arial" w:cs="Arial"/>
                <w:b/>
                <w:bCs/>
              </w:rPr>
            </w:pPr>
            <w:r w:rsidRPr="00964ADF">
              <w:rPr>
                <w:rFonts w:ascii="Arial" w:eastAsia="Arial" w:hAnsi="Arial" w:cs="Arial"/>
                <w:b/>
                <w:bCs/>
              </w:rPr>
              <w:t>4</w:t>
            </w:r>
          </w:p>
        </w:tc>
        <w:tc>
          <w:tcPr>
            <w:tcW w:w="8706" w:type="dxa"/>
          </w:tcPr>
          <w:p w14:paraId="15FD6A51" w14:textId="50146146" w:rsidR="002C2F92" w:rsidRPr="00964ADF" w:rsidRDefault="002C2F92" w:rsidP="002C2F92">
            <w:pPr>
              <w:rPr>
                <w:rFonts w:ascii="Arial" w:eastAsia="Arial" w:hAnsi="Arial" w:cs="Arial"/>
                <w:b/>
                <w:bCs/>
              </w:rPr>
            </w:pPr>
            <w:r w:rsidRPr="00964ADF">
              <w:rPr>
                <w:rFonts w:ascii="Arial" w:eastAsia="Arial" w:hAnsi="Arial" w:cs="Arial"/>
                <w:b/>
                <w:bCs/>
              </w:rPr>
              <w:t xml:space="preserve">Funding </w:t>
            </w:r>
          </w:p>
        </w:tc>
      </w:tr>
      <w:tr w:rsidR="002C2F92" w:rsidRPr="00964ADF" w14:paraId="37FC2592" w14:textId="77777777" w:rsidTr="00AB77C6">
        <w:tc>
          <w:tcPr>
            <w:tcW w:w="645" w:type="dxa"/>
          </w:tcPr>
          <w:p w14:paraId="139DEE51" w14:textId="77777777" w:rsidR="002C2F92" w:rsidRPr="00964ADF" w:rsidRDefault="002C2F92" w:rsidP="002C2F92">
            <w:pPr>
              <w:rPr>
                <w:rFonts w:ascii="Arial" w:hAnsi="Arial" w:cs="Arial"/>
                <w:sz w:val="22"/>
                <w:szCs w:val="22"/>
              </w:rPr>
            </w:pPr>
          </w:p>
        </w:tc>
        <w:tc>
          <w:tcPr>
            <w:tcW w:w="8706" w:type="dxa"/>
          </w:tcPr>
          <w:p w14:paraId="2CCC62EF" w14:textId="77777777" w:rsidR="002C2F92" w:rsidRPr="00964ADF" w:rsidRDefault="002C2F92" w:rsidP="002C2F92">
            <w:pPr>
              <w:rPr>
                <w:rFonts w:ascii="Arial" w:hAnsi="Arial" w:cs="Arial"/>
                <w:sz w:val="22"/>
                <w:szCs w:val="22"/>
                <w:highlight w:val="red"/>
              </w:rPr>
            </w:pPr>
          </w:p>
        </w:tc>
      </w:tr>
      <w:tr w:rsidR="002C2F92" w:rsidRPr="00964ADF" w14:paraId="1A2DD227" w14:textId="77777777" w:rsidTr="00231F52">
        <w:tc>
          <w:tcPr>
            <w:tcW w:w="645" w:type="dxa"/>
          </w:tcPr>
          <w:p w14:paraId="01E2D234" w14:textId="33D6CFB7" w:rsidR="002C2F92" w:rsidRPr="00964ADF" w:rsidRDefault="002C2F92" w:rsidP="002C2F92">
            <w:pPr>
              <w:spacing w:before="120" w:after="120"/>
              <w:rPr>
                <w:rFonts w:ascii="Arial" w:hAnsi="Arial" w:cs="Arial"/>
                <w:sz w:val="22"/>
                <w:szCs w:val="22"/>
              </w:rPr>
            </w:pPr>
            <w:r w:rsidRPr="00964ADF">
              <w:rPr>
                <w:rFonts w:ascii="Arial" w:hAnsi="Arial" w:cs="Arial"/>
                <w:sz w:val="22"/>
                <w:szCs w:val="22"/>
              </w:rPr>
              <w:t>4.1</w:t>
            </w:r>
          </w:p>
        </w:tc>
        <w:tc>
          <w:tcPr>
            <w:tcW w:w="8706" w:type="dxa"/>
            <w:shd w:val="clear" w:color="auto" w:fill="auto"/>
          </w:tcPr>
          <w:p w14:paraId="75A6C704" w14:textId="00EF8A2B" w:rsidR="002C2F92" w:rsidRPr="00964ADF" w:rsidRDefault="002C2F92" w:rsidP="002C2F92">
            <w:pPr>
              <w:rPr>
                <w:rFonts w:ascii="Arial" w:hAnsi="Arial" w:cs="Arial"/>
              </w:rPr>
            </w:pPr>
            <w:r w:rsidRPr="00964ADF">
              <w:rPr>
                <w:rFonts w:ascii="Arial" w:hAnsi="Arial" w:cs="Arial"/>
              </w:rPr>
              <w:t>There are no direct funding implications.</w:t>
            </w:r>
          </w:p>
        </w:tc>
      </w:tr>
      <w:tr w:rsidR="002C2F92" w:rsidRPr="00964ADF" w14:paraId="39AA6809" w14:textId="77777777" w:rsidTr="00AB77C6">
        <w:tc>
          <w:tcPr>
            <w:tcW w:w="645" w:type="dxa"/>
          </w:tcPr>
          <w:p w14:paraId="608EDFE8" w14:textId="77777777" w:rsidR="002C2F92" w:rsidRPr="00964ADF" w:rsidRDefault="002C2F92" w:rsidP="002C2F92">
            <w:pPr>
              <w:rPr>
                <w:rFonts w:ascii="Arial" w:hAnsi="Arial" w:cs="Arial"/>
                <w:sz w:val="22"/>
                <w:szCs w:val="22"/>
              </w:rPr>
            </w:pPr>
          </w:p>
        </w:tc>
        <w:tc>
          <w:tcPr>
            <w:tcW w:w="8706" w:type="dxa"/>
          </w:tcPr>
          <w:p w14:paraId="6430A803" w14:textId="77777777" w:rsidR="002C2F92" w:rsidRPr="00964ADF" w:rsidRDefault="002C2F92" w:rsidP="002C2F92">
            <w:pPr>
              <w:rPr>
                <w:rFonts w:ascii="Arial" w:hAnsi="Arial" w:cs="Arial"/>
                <w:sz w:val="22"/>
                <w:szCs w:val="22"/>
              </w:rPr>
            </w:pPr>
          </w:p>
        </w:tc>
      </w:tr>
      <w:tr w:rsidR="002C2F92" w:rsidRPr="00964ADF" w14:paraId="5070E731" w14:textId="77777777" w:rsidTr="00AB77C6">
        <w:tc>
          <w:tcPr>
            <w:tcW w:w="645" w:type="dxa"/>
          </w:tcPr>
          <w:p w14:paraId="39FCFC02" w14:textId="52D00274" w:rsidR="002C2F92" w:rsidRPr="00964ADF" w:rsidRDefault="002C2F92" w:rsidP="002C2F92">
            <w:pPr>
              <w:rPr>
                <w:rFonts w:ascii="Arial" w:eastAsia="Arial" w:hAnsi="Arial" w:cs="Arial"/>
                <w:b/>
                <w:bCs/>
              </w:rPr>
            </w:pPr>
            <w:r w:rsidRPr="00964ADF">
              <w:rPr>
                <w:rFonts w:ascii="Arial" w:eastAsia="Arial" w:hAnsi="Arial" w:cs="Arial"/>
                <w:b/>
                <w:bCs/>
              </w:rPr>
              <w:t>5</w:t>
            </w:r>
          </w:p>
        </w:tc>
        <w:tc>
          <w:tcPr>
            <w:tcW w:w="8706" w:type="dxa"/>
          </w:tcPr>
          <w:p w14:paraId="246A3CFE" w14:textId="10FB0A70" w:rsidR="002C2F92" w:rsidRPr="00964ADF" w:rsidRDefault="002C2F92" w:rsidP="002C2F92">
            <w:pPr>
              <w:rPr>
                <w:rFonts w:ascii="Arial" w:eastAsia="Arial" w:hAnsi="Arial" w:cs="Arial"/>
                <w:b/>
                <w:bCs/>
              </w:rPr>
            </w:pPr>
            <w:r w:rsidRPr="00964ADF">
              <w:rPr>
                <w:rFonts w:ascii="Arial" w:eastAsia="Arial" w:hAnsi="Arial" w:cs="Arial"/>
                <w:b/>
                <w:bCs/>
              </w:rPr>
              <w:t xml:space="preserve">Recommendations to the PSB </w:t>
            </w:r>
          </w:p>
        </w:tc>
      </w:tr>
      <w:tr w:rsidR="002C2F92" w:rsidRPr="00964ADF" w14:paraId="2A5E1D38" w14:textId="77777777" w:rsidTr="00AB77C6">
        <w:tc>
          <w:tcPr>
            <w:tcW w:w="645" w:type="dxa"/>
          </w:tcPr>
          <w:p w14:paraId="269657A3" w14:textId="16378A36" w:rsidR="002C2F92" w:rsidRPr="00964ADF" w:rsidRDefault="002C2F92" w:rsidP="002C2F92"/>
        </w:tc>
        <w:tc>
          <w:tcPr>
            <w:tcW w:w="8706" w:type="dxa"/>
          </w:tcPr>
          <w:p w14:paraId="6A1D4751" w14:textId="5B0776CB" w:rsidR="002C2F92" w:rsidRPr="00964ADF" w:rsidRDefault="002C2F92" w:rsidP="002C2F92"/>
        </w:tc>
      </w:tr>
      <w:tr w:rsidR="002C2F92" w:rsidRPr="00964ADF" w14:paraId="7B4BAE99" w14:textId="77777777" w:rsidTr="00AB77C6">
        <w:tc>
          <w:tcPr>
            <w:tcW w:w="645" w:type="dxa"/>
          </w:tcPr>
          <w:p w14:paraId="4BE2C843" w14:textId="4C94C96D" w:rsidR="002C2F92" w:rsidRPr="00964ADF" w:rsidRDefault="002C2F92" w:rsidP="002C2F92">
            <w:pPr>
              <w:spacing w:before="120" w:after="120"/>
              <w:rPr>
                <w:rFonts w:ascii="Arial" w:eastAsia="Arial" w:hAnsi="Arial" w:cs="Arial"/>
                <w:sz w:val="22"/>
                <w:szCs w:val="22"/>
              </w:rPr>
            </w:pPr>
            <w:r w:rsidRPr="00964ADF">
              <w:rPr>
                <w:rFonts w:ascii="Arial" w:eastAsia="Arial" w:hAnsi="Arial" w:cs="Arial"/>
                <w:sz w:val="22"/>
                <w:szCs w:val="22"/>
              </w:rPr>
              <w:t>5.1</w:t>
            </w:r>
          </w:p>
        </w:tc>
        <w:tc>
          <w:tcPr>
            <w:tcW w:w="8706" w:type="dxa"/>
          </w:tcPr>
          <w:p w14:paraId="0D9C2162" w14:textId="6F41FB2F" w:rsidR="002C2F92" w:rsidRPr="00C373B3" w:rsidRDefault="005961C6" w:rsidP="00C373B3">
            <w:pPr>
              <w:spacing w:before="120" w:after="120"/>
              <w:rPr>
                <w:rFonts w:ascii="Arial" w:hAnsi="Arial" w:cs="Arial"/>
              </w:rPr>
            </w:pPr>
            <w:r w:rsidRPr="00C373B3">
              <w:rPr>
                <w:rFonts w:ascii="Arial" w:hAnsi="Arial" w:cs="Arial"/>
              </w:rPr>
              <w:t>The PSB agree the proposed ch</w:t>
            </w:r>
            <w:r w:rsidR="00C373B3" w:rsidRPr="00C373B3">
              <w:rPr>
                <w:rFonts w:ascii="Arial" w:hAnsi="Arial" w:cs="Arial"/>
              </w:rPr>
              <w:t>anges to their Terms of Reference as detailed in Appendix 1.</w:t>
            </w:r>
          </w:p>
        </w:tc>
      </w:tr>
      <w:tr w:rsidR="005961C6" w:rsidRPr="00964ADF" w14:paraId="056A6492" w14:textId="77777777" w:rsidTr="00AB77C6">
        <w:tc>
          <w:tcPr>
            <w:tcW w:w="645" w:type="dxa"/>
          </w:tcPr>
          <w:p w14:paraId="5301A483" w14:textId="5EE5F388" w:rsidR="005961C6" w:rsidRPr="00964ADF" w:rsidRDefault="00C373B3" w:rsidP="002C2F92">
            <w:pPr>
              <w:spacing w:before="120" w:after="120"/>
              <w:rPr>
                <w:rFonts w:ascii="Arial" w:eastAsia="Arial" w:hAnsi="Arial" w:cs="Arial"/>
                <w:sz w:val="22"/>
                <w:szCs w:val="22"/>
              </w:rPr>
            </w:pPr>
            <w:r>
              <w:rPr>
                <w:rFonts w:ascii="Arial" w:eastAsia="Arial" w:hAnsi="Arial" w:cs="Arial"/>
                <w:sz w:val="22"/>
                <w:szCs w:val="22"/>
              </w:rPr>
              <w:t>5.2</w:t>
            </w:r>
          </w:p>
        </w:tc>
        <w:tc>
          <w:tcPr>
            <w:tcW w:w="8706" w:type="dxa"/>
          </w:tcPr>
          <w:p w14:paraId="011107F1" w14:textId="5EA81719" w:rsidR="005961C6" w:rsidRPr="00C373B3" w:rsidRDefault="005961C6" w:rsidP="00C373B3">
            <w:pPr>
              <w:spacing w:before="120" w:after="120"/>
              <w:rPr>
                <w:rFonts w:ascii="Arial" w:hAnsi="Arial" w:cs="Arial"/>
              </w:rPr>
            </w:pPr>
            <w:r w:rsidRPr="00C373B3">
              <w:rPr>
                <w:rFonts w:ascii="Arial" w:hAnsi="Arial" w:cs="Arial"/>
              </w:rPr>
              <w:t>The PSB agreed the proposed schedule for receiving updates on the delivery of the Areas of Focus.</w:t>
            </w:r>
          </w:p>
        </w:tc>
      </w:tr>
    </w:tbl>
    <w:p w14:paraId="13AEC7F6" w14:textId="77777777" w:rsidR="00BF34A5" w:rsidRPr="00964ADF" w:rsidRDefault="00BF34A5" w:rsidP="2D479C8F">
      <w:pPr>
        <w:rPr>
          <w:i/>
          <w:iCs/>
        </w:rPr>
      </w:pPr>
      <w:bookmarkStart w:id="1" w:name="_MON_1684058292"/>
      <w:bookmarkStart w:id="2" w:name="_MON_1683375776"/>
      <w:bookmarkStart w:id="3" w:name="_MON_1682430729"/>
      <w:bookmarkEnd w:id="1"/>
      <w:bookmarkEnd w:id="2"/>
      <w:bookmarkEnd w:id="3"/>
    </w:p>
    <w:p w14:paraId="65A2C364" w14:textId="36D09CB9" w:rsidR="7A5EEBA0" w:rsidRPr="00964ADF" w:rsidRDefault="00F948AD" w:rsidP="2D479C8F">
      <w:pPr>
        <w:rPr>
          <w:rFonts w:ascii="Arial" w:hAnsi="Arial" w:cs="Arial"/>
          <w:i/>
          <w:iCs/>
          <w:sz w:val="22"/>
          <w:szCs w:val="22"/>
        </w:rPr>
      </w:pPr>
      <w:r w:rsidRPr="00964ADF">
        <w:rPr>
          <w:rFonts w:ascii="Arial" w:hAnsi="Arial" w:cs="Arial"/>
          <w:i/>
          <w:iCs/>
          <w:sz w:val="22"/>
          <w:szCs w:val="22"/>
        </w:rPr>
        <w:t xml:space="preserve">Draft date </w:t>
      </w:r>
      <w:r w:rsidR="006F628B">
        <w:rPr>
          <w:rFonts w:ascii="Arial" w:hAnsi="Arial" w:cs="Arial"/>
          <w:i/>
          <w:iCs/>
          <w:sz w:val="22"/>
          <w:szCs w:val="22"/>
        </w:rPr>
        <w:t>2</w:t>
      </w:r>
      <w:r w:rsidR="006F628B" w:rsidRPr="006F628B">
        <w:rPr>
          <w:rFonts w:ascii="Arial" w:hAnsi="Arial" w:cs="Arial"/>
          <w:i/>
          <w:iCs/>
          <w:sz w:val="22"/>
          <w:szCs w:val="22"/>
          <w:vertAlign w:val="superscript"/>
        </w:rPr>
        <w:t>nd</w:t>
      </w:r>
      <w:r w:rsidR="006F628B">
        <w:rPr>
          <w:rFonts w:ascii="Arial" w:hAnsi="Arial" w:cs="Arial"/>
          <w:i/>
          <w:iCs/>
          <w:sz w:val="22"/>
          <w:szCs w:val="22"/>
        </w:rPr>
        <w:t xml:space="preserve"> December</w:t>
      </w:r>
      <w:r w:rsidR="00231F52" w:rsidRPr="00964ADF">
        <w:rPr>
          <w:rFonts w:ascii="Arial" w:hAnsi="Arial" w:cs="Arial"/>
          <w:i/>
          <w:iCs/>
          <w:sz w:val="22"/>
          <w:szCs w:val="22"/>
        </w:rPr>
        <w:t xml:space="preserve"> 2024</w:t>
      </w:r>
    </w:p>
    <w:p w14:paraId="6418DF81" w14:textId="294355F8" w:rsidR="00D20EE5" w:rsidRDefault="00D20EE5" w:rsidP="2D479C8F">
      <w:pPr>
        <w:rPr>
          <w:rFonts w:ascii="Arial" w:hAnsi="Arial" w:cs="Arial"/>
          <w:i/>
          <w:iCs/>
          <w:sz w:val="22"/>
          <w:szCs w:val="22"/>
        </w:rPr>
      </w:pPr>
    </w:p>
    <w:p w14:paraId="6D7DD915" w14:textId="77777777" w:rsidR="006F628B" w:rsidRDefault="006F628B" w:rsidP="2D479C8F">
      <w:pPr>
        <w:rPr>
          <w:rFonts w:ascii="Arial" w:hAnsi="Arial" w:cs="Arial"/>
          <w:i/>
          <w:iCs/>
          <w:sz w:val="22"/>
          <w:szCs w:val="22"/>
        </w:rPr>
      </w:pPr>
    </w:p>
    <w:p w14:paraId="1D5E9133" w14:textId="789764DE" w:rsidR="006F628B" w:rsidRPr="004C667E" w:rsidRDefault="006F628B" w:rsidP="2D479C8F">
      <w:pPr>
        <w:rPr>
          <w:rFonts w:ascii="Arial" w:hAnsi="Arial" w:cs="Arial"/>
          <w:sz w:val="22"/>
          <w:szCs w:val="22"/>
        </w:rPr>
      </w:pPr>
      <w:r w:rsidRPr="004C667E">
        <w:rPr>
          <w:rFonts w:ascii="Arial" w:hAnsi="Arial" w:cs="Arial"/>
          <w:sz w:val="22"/>
          <w:szCs w:val="22"/>
        </w:rPr>
        <w:t>Appendix</w:t>
      </w:r>
    </w:p>
    <w:p w14:paraId="6894D737" w14:textId="7C67DE8E" w:rsidR="006F628B" w:rsidRPr="004C667E" w:rsidRDefault="004C667E" w:rsidP="2D479C8F">
      <w:pPr>
        <w:rPr>
          <w:rFonts w:ascii="Arial" w:hAnsi="Arial" w:cs="Arial"/>
          <w:sz w:val="22"/>
          <w:szCs w:val="22"/>
        </w:rPr>
      </w:pPr>
      <w:r w:rsidRPr="004C667E">
        <w:rPr>
          <w:rFonts w:ascii="Arial" w:hAnsi="Arial" w:cs="Arial"/>
          <w:sz w:val="22"/>
          <w:szCs w:val="22"/>
        </w:rPr>
        <w:t xml:space="preserve">Appendix 1 </w:t>
      </w:r>
      <w:r w:rsidRPr="004C667E">
        <w:rPr>
          <w:rFonts w:ascii="Arial" w:hAnsi="Arial" w:cs="Arial"/>
          <w:sz w:val="22"/>
          <w:szCs w:val="22"/>
        </w:rPr>
        <w:tab/>
        <w:t>Terms of Reference December 2024</w:t>
      </w:r>
    </w:p>
    <w:sectPr w:rsidR="006F628B" w:rsidRPr="004C667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9E685" w14:textId="77777777" w:rsidR="006B291C" w:rsidRDefault="006B291C" w:rsidP="003F0B5F">
      <w:r>
        <w:separator/>
      </w:r>
    </w:p>
  </w:endnote>
  <w:endnote w:type="continuationSeparator" w:id="0">
    <w:p w14:paraId="09773171" w14:textId="77777777" w:rsidR="006B291C" w:rsidRDefault="006B291C" w:rsidP="003F0B5F">
      <w:r>
        <w:continuationSeparator/>
      </w:r>
    </w:p>
  </w:endnote>
  <w:endnote w:type="continuationNotice" w:id="1">
    <w:p w14:paraId="55D35550" w14:textId="77777777" w:rsidR="006B291C" w:rsidRDefault="006B2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ayout w:type="fixed"/>
      <w:tblLook w:val="06A0" w:firstRow="1" w:lastRow="0" w:firstColumn="1" w:lastColumn="0" w:noHBand="1" w:noVBand="1"/>
    </w:tblPr>
    <w:tblGrid>
      <w:gridCol w:w="3005"/>
      <w:gridCol w:w="3005"/>
      <w:gridCol w:w="3005"/>
    </w:tblGrid>
    <w:tr w:rsidR="00701099" w14:paraId="0EEC3E02" w14:textId="77777777" w:rsidTr="00A31D23">
      <w:tc>
        <w:tcPr>
          <w:tcW w:w="3005" w:type="dxa"/>
        </w:tcPr>
        <w:p w14:paraId="2F94E288" w14:textId="3C11BE3B" w:rsidR="00701099" w:rsidRDefault="00701099" w:rsidP="35428F46">
          <w:pPr>
            <w:pStyle w:val="Header"/>
            <w:ind w:left="-115"/>
          </w:pPr>
        </w:p>
      </w:tc>
      <w:tc>
        <w:tcPr>
          <w:tcW w:w="3005" w:type="dxa"/>
        </w:tcPr>
        <w:p w14:paraId="516FD756" w14:textId="3CED1258" w:rsidR="00701099" w:rsidRDefault="00701099" w:rsidP="35428F46">
          <w:pPr>
            <w:pStyle w:val="Header"/>
            <w:jc w:val="center"/>
          </w:pPr>
        </w:p>
      </w:tc>
      <w:tc>
        <w:tcPr>
          <w:tcW w:w="3005" w:type="dxa"/>
        </w:tcPr>
        <w:p w14:paraId="41CF0C9D" w14:textId="47D7626B" w:rsidR="00701099" w:rsidRDefault="00701099" w:rsidP="35428F46">
          <w:pPr>
            <w:pStyle w:val="Header"/>
            <w:ind w:right="-115"/>
            <w:jc w:val="right"/>
          </w:pPr>
        </w:p>
      </w:tc>
    </w:tr>
  </w:tbl>
  <w:p w14:paraId="354BFF13" w14:textId="0774CE93" w:rsidR="00701099" w:rsidRDefault="00701099" w:rsidP="35428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1E9CD" w14:textId="77777777" w:rsidR="006B291C" w:rsidRDefault="006B291C" w:rsidP="003F0B5F">
      <w:r>
        <w:separator/>
      </w:r>
    </w:p>
  </w:footnote>
  <w:footnote w:type="continuationSeparator" w:id="0">
    <w:p w14:paraId="52128A91" w14:textId="77777777" w:rsidR="006B291C" w:rsidRDefault="006B291C" w:rsidP="003F0B5F">
      <w:r>
        <w:continuationSeparator/>
      </w:r>
    </w:p>
  </w:footnote>
  <w:footnote w:type="continuationNotice" w:id="1">
    <w:p w14:paraId="2FAB5108" w14:textId="77777777" w:rsidR="006B291C" w:rsidRDefault="006B2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ayout w:type="fixed"/>
      <w:tblLook w:val="06A0" w:firstRow="1" w:lastRow="0" w:firstColumn="1" w:lastColumn="0" w:noHBand="1" w:noVBand="1"/>
    </w:tblPr>
    <w:tblGrid>
      <w:gridCol w:w="3005"/>
      <w:gridCol w:w="3005"/>
      <w:gridCol w:w="3005"/>
    </w:tblGrid>
    <w:tr w:rsidR="00701099" w14:paraId="45E184EB" w14:textId="77777777" w:rsidTr="00A31D23">
      <w:tc>
        <w:tcPr>
          <w:tcW w:w="3005" w:type="dxa"/>
        </w:tcPr>
        <w:p w14:paraId="2B32EC2F" w14:textId="47EA9F52" w:rsidR="00701099" w:rsidRDefault="00701099" w:rsidP="35428F46">
          <w:pPr>
            <w:pStyle w:val="Header"/>
            <w:ind w:left="-115"/>
          </w:pPr>
        </w:p>
      </w:tc>
      <w:tc>
        <w:tcPr>
          <w:tcW w:w="3005" w:type="dxa"/>
        </w:tcPr>
        <w:p w14:paraId="433F979E" w14:textId="53AE8FB5" w:rsidR="00701099" w:rsidRDefault="00701099" w:rsidP="35428F46">
          <w:pPr>
            <w:pStyle w:val="Header"/>
            <w:jc w:val="center"/>
          </w:pPr>
        </w:p>
      </w:tc>
      <w:tc>
        <w:tcPr>
          <w:tcW w:w="3005" w:type="dxa"/>
        </w:tcPr>
        <w:p w14:paraId="42B82034" w14:textId="3D87ECE8" w:rsidR="00701099" w:rsidRDefault="00701099" w:rsidP="35428F46">
          <w:pPr>
            <w:pStyle w:val="Header"/>
            <w:ind w:right="-115"/>
            <w:jc w:val="right"/>
          </w:pPr>
        </w:p>
      </w:tc>
    </w:tr>
  </w:tbl>
  <w:p w14:paraId="4A319836" w14:textId="6B57919B" w:rsidR="00701099" w:rsidRDefault="00701099" w:rsidP="35428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5EB6"/>
    <w:multiLevelType w:val="hybridMultilevel"/>
    <w:tmpl w:val="7EDE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E57BD"/>
    <w:multiLevelType w:val="hybridMultilevel"/>
    <w:tmpl w:val="79FAD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767C72"/>
    <w:multiLevelType w:val="hybridMultilevel"/>
    <w:tmpl w:val="2AD6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677AE"/>
    <w:multiLevelType w:val="hybridMultilevel"/>
    <w:tmpl w:val="88E64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60828"/>
    <w:multiLevelType w:val="hybridMultilevel"/>
    <w:tmpl w:val="BC72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B2969"/>
    <w:multiLevelType w:val="hybridMultilevel"/>
    <w:tmpl w:val="B944EC86"/>
    <w:lvl w:ilvl="0" w:tplc="08090001">
      <w:start w:val="1"/>
      <w:numFmt w:val="bullet"/>
      <w:lvlText w:val=""/>
      <w:lvlJc w:val="left"/>
      <w:pPr>
        <w:ind w:left="720" w:hanging="360"/>
      </w:pPr>
      <w:rPr>
        <w:rFonts w:ascii="Symbol" w:hAnsi="Symbol" w:hint="default"/>
      </w:rPr>
    </w:lvl>
    <w:lvl w:ilvl="1" w:tplc="8802522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C021F"/>
    <w:multiLevelType w:val="hybridMultilevel"/>
    <w:tmpl w:val="2BFA9600"/>
    <w:lvl w:ilvl="0" w:tplc="28ACD67E">
      <w:start w:val="1"/>
      <w:numFmt w:val="bullet"/>
      <w:lvlText w:val=""/>
      <w:lvlJc w:val="left"/>
      <w:pPr>
        <w:ind w:left="720" w:hanging="360"/>
      </w:pPr>
      <w:rPr>
        <w:rFonts w:ascii="Symbol" w:hAnsi="Symbol" w:hint="default"/>
      </w:rPr>
    </w:lvl>
    <w:lvl w:ilvl="1" w:tplc="616E333A">
      <w:start w:val="1"/>
      <w:numFmt w:val="bullet"/>
      <w:lvlText w:val="o"/>
      <w:lvlJc w:val="left"/>
      <w:pPr>
        <w:ind w:left="1440" w:hanging="360"/>
      </w:pPr>
      <w:rPr>
        <w:rFonts w:ascii="Courier New" w:hAnsi="Courier New" w:hint="default"/>
      </w:rPr>
    </w:lvl>
    <w:lvl w:ilvl="2" w:tplc="BAE4459E">
      <w:start w:val="1"/>
      <w:numFmt w:val="bullet"/>
      <w:lvlText w:val=""/>
      <w:lvlJc w:val="left"/>
      <w:pPr>
        <w:ind w:left="2160" w:hanging="360"/>
      </w:pPr>
      <w:rPr>
        <w:rFonts w:ascii="Wingdings" w:hAnsi="Wingdings" w:hint="default"/>
      </w:rPr>
    </w:lvl>
    <w:lvl w:ilvl="3" w:tplc="22D0FFAC">
      <w:start w:val="1"/>
      <w:numFmt w:val="bullet"/>
      <w:lvlText w:val=""/>
      <w:lvlJc w:val="left"/>
      <w:pPr>
        <w:ind w:left="2880" w:hanging="360"/>
      </w:pPr>
      <w:rPr>
        <w:rFonts w:ascii="Symbol" w:hAnsi="Symbol" w:hint="default"/>
      </w:rPr>
    </w:lvl>
    <w:lvl w:ilvl="4" w:tplc="00121ABE">
      <w:start w:val="1"/>
      <w:numFmt w:val="bullet"/>
      <w:lvlText w:val="o"/>
      <w:lvlJc w:val="left"/>
      <w:pPr>
        <w:ind w:left="3600" w:hanging="360"/>
      </w:pPr>
      <w:rPr>
        <w:rFonts w:ascii="Courier New" w:hAnsi="Courier New" w:hint="default"/>
      </w:rPr>
    </w:lvl>
    <w:lvl w:ilvl="5" w:tplc="7326D22A">
      <w:start w:val="1"/>
      <w:numFmt w:val="bullet"/>
      <w:lvlText w:val=""/>
      <w:lvlJc w:val="left"/>
      <w:pPr>
        <w:ind w:left="4320" w:hanging="360"/>
      </w:pPr>
      <w:rPr>
        <w:rFonts w:ascii="Wingdings" w:hAnsi="Wingdings" w:hint="default"/>
      </w:rPr>
    </w:lvl>
    <w:lvl w:ilvl="6" w:tplc="536474A0">
      <w:start w:val="1"/>
      <w:numFmt w:val="bullet"/>
      <w:lvlText w:val=""/>
      <w:lvlJc w:val="left"/>
      <w:pPr>
        <w:ind w:left="5040" w:hanging="360"/>
      </w:pPr>
      <w:rPr>
        <w:rFonts w:ascii="Symbol" w:hAnsi="Symbol" w:hint="default"/>
      </w:rPr>
    </w:lvl>
    <w:lvl w:ilvl="7" w:tplc="B1DCD672">
      <w:start w:val="1"/>
      <w:numFmt w:val="bullet"/>
      <w:lvlText w:val="o"/>
      <w:lvlJc w:val="left"/>
      <w:pPr>
        <w:ind w:left="5760" w:hanging="360"/>
      </w:pPr>
      <w:rPr>
        <w:rFonts w:ascii="Courier New" w:hAnsi="Courier New" w:hint="default"/>
      </w:rPr>
    </w:lvl>
    <w:lvl w:ilvl="8" w:tplc="7CC4F1B2">
      <w:start w:val="1"/>
      <w:numFmt w:val="bullet"/>
      <w:lvlText w:val=""/>
      <w:lvlJc w:val="left"/>
      <w:pPr>
        <w:ind w:left="6480" w:hanging="360"/>
      </w:pPr>
      <w:rPr>
        <w:rFonts w:ascii="Wingdings" w:hAnsi="Wingdings" w:hint="default"/>
      </w:rPr>
    </w:lvl>
  </w:abstractNum>
  <w:abstractNum w:abstractNumId="7" w15:restartNumberingAfterBreak="0">
    <w:nsid w:val="386F455F"/>
    <w:multiLevelType w:val="hybridMultilevel"/>
    <w:tmpl w:val="0874CD6A"/>
    <w:lvl w:ilvl="0" w:tplc="CCFA0F7A">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E0401"/>
    <w:multiLevelType w:val="hybridMultilevel"/>
    <w:tmpl w:val="8D0A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51808"/>
    <w:multiLevelType w:val="hybridMultilevel"/>
    <w:tmpl w:val="336E9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A13072"/>
    <w:multiLevelType w:val="hybridMultilevel"/>
    <w:tmpl w:val="6A0E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F2E8F"/>
    <w:multiLevelType w:val="hybridMultilevel"/>
    <w:tmpl w:val="6D249D7E"/>
    <w:lvl w:ilvl="0" w:tplc="FFFFFFFF">
      <w:start w:val="1"/>
      <w:numFmt w:val="bullet"/>
      <w:lvlText w:val=""/>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51D0355"/>
    <w:multiLevelType w:val="hybridMultilevel"/>
    <w:tmpl w:val="2610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301F8"/>
    <w:multiLevelType w:val="hybridMultilevel"/>
    <w:tmpl w:val="FFFFFFFF"/>
    <w:lvl w:ilvl="0" w:tplc="87404418">
      <w:start w:val="1"/>
      <w:numFmt w:val="bullet"/>
      <w:lvlText w:val="·"/>
      <w:lvlJc w:val="left"/>
      <w:pPr>
        <w:ind w:left="720" w:hanging="360"/>
      </w:pPr>
      <w:rPr>
        <w:rFonts w:ascii="Symbol" w:hAnsi="Symbol" w:hint="default"/>
      </w:rPr>
    </w:lvl>
    <w:lvl w:ilvl="1" w:tplc="D400943E">
      <w:start w:val="1"/>
      <w:numFmt w:val="bullet"/>
      <w:lvlText w:val="o"/>
      <w:lvlJc w:val="left"/>
      <w:pPr>
        <w:ind w:left="1440" w:hanging="360"/>
      </w:pPr>
      <w:rPr>
        <w:rFonts w:ascii="Courier New" w:hAnsi="Courier New" w:hint="default"/>
      </w:rPr>
    </w:lvl>
    <w:lvl w:ilvl="2" w:tplc="B90EC438">
      <w:start w:val="1"/>
      <w:numFmt w:val="bullet"/>
      <w:lvlText w:val=""/>
      <w:lvlJc w:val="left"/>
      <w:pPr>
        <w:ind w:left="2160" w:hanging="360"/>
      </w:pPr>
      <w:rPr>
        <w:rFonts w:ascii="Wingdings" w:hAnsi="Wingdings" w:hint="default"/>
      </w:rPr>
    </w:lvl>
    <w:lvl w:ilvl="3" w:tplc="27C297B6">
      <w:start w:val="1"/>
      <w:numFmt w:val="bullet"/>
      <w:lvlText w:val=""/>
      <w:lvlJc w:val="left"/>
      <w:pPr>
        <w:ind w:left="2880" w:hanging="360"/>
      </w:pPr>
      <w:rPr>
        <w:rFonts w:ascii="Symbol" w:hAnsi="Symbol" w:hint="default"/>
      </w:rPr>
    </w:lvl>
    <w:lvl w:ilvl="4" w:tplc="C81A2126">
      <w:start w:val="1"/>
      <w:numFmt w:val="bullet"/>
      <w:lvlText w:val="o"/>
      <w:lvlJc w:val="left"/>
      <w:pPr>
        <w:ind w:left="3600" w:hanging="360"/>
      </w:pPr>
      <w:rPr>
        <w:rFonts w:ascii="Courier New" w:hAnsi="Courier New" w:hint="default"/>
      </w:rPr>
    </w:lvl>
    <w:lvl w:ilvl="5" w:tplc="13006DBA">
      <w:start w:val="1"/>
      <w:numFmt w:val="bullet"/>
      <w:lvlText w:val=""/>
      <w:lvlJc w:val="left"/>
      <w:pPr>
        <w:ind w:left="4320" w:hanging="360"/>
      </w:pPr>
      <w:rPr>
        <w:rFonts w:ascii="Wingdings" w:hAnsi="Wingdings" w:hint="default"/>
      </w:rPr>
    </w:lvl>
    <w:lvl w:ilvl="6" w:tplc="08F29698">
      <w:start w:val="1"/>
      <w:numFmt w:val="bullet"/>
      <w:lvlText w:val=""/>
      <w:lvlJc w:val="left"/>
      <w:pPr>
        <w:ind w:left="5040" w:hanging="360"/>
      </w:pPr>
      <w:rPr>
        <w:rFonts w:ascii="Symbol" w:hAnsi="Symbol" w:hint="default"/>
      </w:rPr>
    </w:lvl>
    <w:lvl w:ilvl="7" w:tplc="CC30CDF6">
      <w:start w:val="1"/>
      <w:numFmt w:val="bullet"/>
      <w:lvlText w:val="o"/>
      <w:lvlJc w:val="left"/>
      <w:pPr>
        <w:ind w:left="5760" w:hanging="360"/>
      </w:pPr>
      <w:rPr>
        <w:rFonts w:ascii="Courier New" w:hAnsi="Courier New" w:hint="default"/>
      </w:rPr>
    </w:lvl>
    <w:lvl w:ilvl="8" w:tplc="F8B83EA2">
      <w:start w:val="1"/>
      <w:numFmt w:val="bullet"/>
      <w:lvlText w:val=""/>
      <w:lvlJc w:val="left"/>
      <w:pPr>
        <w:ind w:left="6480" w:hanging="360"/>
      </w:pPr>
      <w:rPr>
        <w:rFonts w:ascii="Wingdings" w:hAnsi="Wingdings" w:hint="default"/>
      </w:rPr>
    </w:lvl>
  </w:abstractNum>
  <w:abstractNum w:abstractNumId="14" w15:restartNumberingAfterBreak="0">
    <w:nsid w:val="66BD3F42"/>
    <w:multiLevelType w:val="hybridMultilevel"/>
    <w:tmpl w:val="91B41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69221B5B"/>
    <w:multiLevelType w:val="hybridMultilevel"/>
    <w:tmpl w:val="CFAECEC6"/>
    <w:lvl w:ilvl="0" w:tplc="303CBE5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D7835"/>
    <w:multiLevelType w:val="hybridMultilevel"/>
    <w:tmpl w:val="9330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617997">
    <w:abstractNumId w:val="6"/>
  </w:num>
  <w:num w:numId="2" w16cid:durableId="1162046832">
    <w:abstractNumId w:val="3"/>
  </w:num>
  <w:num w:numId="3" w16cid:durableId="666711761">
    <w:abstractNumId w:val="9"/>
  </w:num>
  <w:num w:numId="4" w16cid:durableId="1348867967">
    <w:abstractNumId w:val="14"/>
  </w:num>
  <w:num w:numId="5" w16cid:durableId="20935024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634960">
    <w:abstractNumId w:val="2"/>
  </w:num>
  <w:num w:numId="7" w16cid:durableId="881091155">
    <w:abstractNumId w:val="10"/>
  </w:num>
  <w:num w:numId="8" w16cid:durableId="989987808">
    <w:abstractNumId w:val="4"/>
  </w:num>
  <w:num w:numId="9" w16cid:durableId="1386564910">
    <w:abstractNumId w:val="5"/>
  </w:num>
  <w:num w:numId="10" w16cid:durableId="1629698489">
    <w:abstractNumId w:val="16"/>
  </w:num>
  <w:num w:numId="11" w16cid:durableId="1365598913">
    <w:abstractNumId w:val="8"/>
  </w:num>
  <w:num w:numId="12" w16cid:durableId="1731878371">
    <w:abstractNumId w:val="15"/>
  </w:num>
  <w:num w:numId="13" w16cid:durableId="1533805939">
    <w:abstractNumId w:val="1"/>
  </w:num>
  <w:num w:numId="14" w16cid:durableId="1427312527">
    <w:abstractNumId w:val="7"/>
  </w:num>
  <w:num w:numId="15" w16cid:durableId="1161968194">
    <w:abstractNumId w:val="13"/>
  </w:num>
  <w:num w:numId="16" w16cid:durableId="1295021617">
    <w:abstractNumId w:val="0"/>
  </w:num>
  <w:num w:numId="17" w16cid:durableId="18181837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8D"/>
    <w:rsid w:val="000077F2"/>
    <w:rsid w:val="0001144D"/>
    <w:rsid w:val="000165C2"/>
    <w:rsid w:val="000363CF"/>
    <w:rsid w:val="0004162E"/>
    <w:rsid w:val="000501ED"/>
    <w:rsid w:val="000545DB"/>
    <w:rsid w:val="000576F6"/>
    <w:rsid w:val="00085105"/>
    <w:rsid w:val="00093546"/>
    <w:rsid w:val="000B68F6"/>
    <w:rsid w:val="0010073D"/>
    <w:rsid w:val="001173CC"/>
    <w:rsid w:val="0012248C"/>
    <w:rsid w:val="001479EB"/>
    <w:rsid w:val="0016423A"/>
    <w:rsid w:val="00164477"/>
    <w:rsid w:val="00167A84"/>
    <w:rsid w:val="00192181"/>
    <w:rsid w:val="001A588D"/>
    <w:rsid w:val="001A75CE"/>
    <w:rsid w:val="001C34F9"/>
    <w:rsid w:val="001C3BA2"/>
    <w:rsid w:val="001C6B43"/>
    <w:rsid w:val="001D2310"/>
    <w:rsid w:val="001D6DB0"/>
    <w:rsid w:val="001E495A"/>
    <w:rsid w:val="001EE949"/>
    <w:rsid w:val="001F6546"/>
    <w:rsid w:val="00205F92"/>
    <w:rsid w:val="00211289"/>
    <w:rsid w:val="00212AC9"/>
    <w:rsid w:val="00225679"/>
    <w:rsid w:val="00230A2D"/>
    <w:rsid w:val="00231F52"/>
    <w:rsid w:val="00240B06"/>
    <w:rsid w:val="0025175A"/>
    <w:rsid w:val="00291B6C"/>
    <w:rsid w:val="002A0AFD"/>
    <w:rsid w:val="002C2F92"/>
    <w:rsid w:val="002F5DFD"/>
    <w:rsid w:val="003020F1"/>
    <w:rsid w:val="00315EF4"/>
    <w:rsid w:val="00317EEE"/>
    <w:rsid w:val="0038003D"/>
    <w:rsid w:val="00393692"/>
    <w:rsid w:val="003A5D30"/>
    <w:rsid w:val="003D846A"/>
    <w:rsid w:val="003F0B5F"/>
    <w:rsid w:val="00417C71"/>
    <w:rsid w:val="00417D89"/>
    <w:rsid w:val="0043054B"/>
    <w:rsid w:val="00430B04"/>
    <w:rsid w:val="004426E7"/>
    <w:rsid w:val="00447271"/>
    <w:rsid w:val="0045008C"/>
    <w:rsid w:val="004B0A9A"/>
    <w:rsid w:val="004B5EFD"/>
    <w:rsid w:val="004C667E"/>
    <w:rsid w:val="004C71C3"/>
    <w:rsid w:val="004D6653"/>
    <w:rsid w:val="005008D7"/>
    <w:rsid w:val="0050551E"/>
    <w:rsid w:val="00507947"/>
    <w:rsid w:val="00526927"/>
    <w:rsid w:val="0055791C"/>
    <w:rsid w:val="005747D1"/>
    <w:rsid w:val="005961C6"/>
    <w:rsid w:val="00597D4C"/>
    <w:rsid w:val="005D04A7"/>
    <w:rsid w:val="005E7450"/>
    <w:rsid w:val="00602531"/>
    <w:rsid w:val="00615152"/>
    <w:rsid w:val="0061718B"/>
    <w:rsid w:val="00623E84"/>
    <w:rsid w:val="006427D7"/>
    <w:rsid w:val="00644F6C"/>
    <w:rsid w:val="00651982"/>
    <w:rsid w:val="00653932"/>
    <w:rsid w:val="0065499C"/>
    <w:rsid w:val="00664EF3"/>
    <w:rsid w:val="00676E98"/>
    <w:rsid w:val="006B291C"/>
    <w:rsid w:val="006D7258"/>
    <w:rsid w:val="006E0646"/>
    <w:rsid w:val="006F509F"/>
    <w:rsid w:val="006F628B"/>
    <w:rsid w:val="00701099"/>
    <w:rsid w:val="00710556"/>
    <w:rsid w:val="007340BA"/>
    <w:rsid w:val="00734609"/>
    <w:rsid w:val="00743420"/>
    <w:rsid w:val="007666FA"/>
    <w:rsid w:val="00785C3D"/>
    <w:rsid w:val="007D2363"/>
    <w:rsid w:val="007D4909"/>
    <w:rsid w:val="007F754F"/>
    <w:rsid w:val="00800B7E"/>
    <w:rsid w:val="00812B91"/>
    <w:rsid w:val="00815FE6"/>
    <w:rsid w:val="008233E3"/>
    <w:rsid w:val="00866B8E"/>
    <w:rsid w:val="00867993"/>
    <w:rsid w:val="00882493"/>
    <w:rsid w:val="008C1A94"/>
    <w:rsid w:val="008C3009"/>
    <w:rsid w:val="008C734D"/>
    <w:rsid w:val="008F010B"/>
    <w:rsid w:val="00901F34"/>
    <w:rsid w:val="0090705A"/>
    <w:rsid w:val="009074E2"/>
    <w:rsid w:val="00910861"/>
    <w:rsid w:val="009168E1"/>
    <w:rsid w:val="00917F67"/>
    <w:rsid w:val="009310CA"/>
    <w:rsid w:val="00935187"/>
    <w:rsid w:val="00957E14"/>
    <w:rsid w:val="00964ADF"/>
    <w:rsid w:val="00965544"/>
    <w:rsid w:val="00977062"/>
    <w:rsid w:val="0098297F"/>
    <w:rsid w:val="00987C5C"/>
    <w:rsid w:val="00990993"/>
    <w:rsid w:val="0099623A"/>
    <w:rsid w:val="009C120E"/>
    <w:rsid w:val="009C4909"/>
    <w:rsid w:val="009D4D10"/>
    <w:rsid w:val="00A0184F"/>
    <w:rsid w:val="00A060D1"/>
    <w:rsid w:val="00A23711"/>
    <w:rsid w:val="00A31D23"/>
    <w:rsid w:val="00A3245F"/>
    <w:rsid w:val="00A6251F"/>
    <w:rsid w:val="00A64FE7"/>
    <w:rsid w:val="00A8310A"/>
    <w:rsid w:val="00AB5430"/>
    <w:rsid w:val="00AB77C6"/>
    <w:rsid w:val="00AC7B16"/>
    <w:rsid w:val="00B22B83"/>
    <w:rsid w:val="00B27A50"/>
    <w:rsid w:val="00B36045"/>
    <w:rsid w:val="00B43397"/>
    <w:rsid w:val="00B61E1A"/>
    <w:rsid w:val="00B66B31"/>
    <w:rsid w:val="00B70474"/>
    <w:rsid w:val="00B773AA"/>
    <w:rsid w:val="00B85108"/>
    <w:rsid w:val="00BC1509"/>
    <w:rsid w:val="00BC3F5C"/>
    <w:rsid w:val="00BE3AE6"/>
    <w:rsid w:val="00BF34A5"/>
    <w:rsid w:val="00BF4FC3"/>
    <w:rsid w:val="00C138F1"/>
    <w:rsid w:val="00C16A1E"/>
    <w:rsid w:val="00C32E15"/>
    <w:rsid w:val="00C373B3"/>
    <w:rsid w:val="00C44021"/>
    <w:rsid w:val="00C60DFD"/>
    <w:rsid w:val="00C66E27"/>
    <w:rsid w:val="00CD1935"/>
    <w:rsid w:val="00CD68DC"/>
    <w:rsid w:val="00CF7706"/>
    <w:rsid w:val="00D02245"/>
    <w:rsid w:val="00D20EE5"/>
    <w:rsid w:val="00D24FB7"/>
    <w:rsid w:val="00D3F8BD"/>
    <w:rsid w:val="00D43AA9"/>
    <w:rsid w:val="00D50EE6"/>
    <w:rsid w:val="00D86A35"/>
    <w:rsid w:val="00D976ED"/>
    <w:rsid w:val="00DA7EC9"/>
    <w:rsid w:val="00DB0D2B"/>
    <w:rsid w:val="00DC7040"/>
    <w:rsid w:val="00DD6D53"/>
    <w:rsid w:val="00DD6F3C"/>
    <w:rsid w:val="00DF8D56"/>
    <w:rsid w:val="00E13AC4"/>
    <w:rsid w:val="00E279DF"/>
    <w:rsid w:val="00E41F90"/>
    <w:rsid w:val="00E82671"/>
    <w:rsid w:val="00E92489"/>
    <w:rsid w:val="00E9298B"/>
    <w:rsid w:val="00E93A51"/>
    <w:rsid w:val="00E9609F"/>
    <w:rsid w:val="00EA4E7A"/>
    <w:rsid w:val="00EB33D5"/>
    <w:rsid w:val="00EB4715"/>
    <w:rsid w:val="00EC5209"/>
    <w:rsid w:val="00EE69E7"/>
    <w:rsid w:val="00F06DD5"/>
    <w:rsid w:val="00F11FAE"/>
    <w:rsid w:val="00F16677"/>
    <w:rsid w:val="00F21A45"/>
    <w:rsid w:val="00F3340C"/>
    <w:rsid w:val="00F36D55"/>
    <w:rsid w:val="00F60B0C"/>
    <w:rsid w:val="00F6A277"/>
    <w:rsid w:val="00F76097"/>
    <w:rsid w:val="00F80ADD"/>
    <w:rsid w:val="00F948AD"/>
    <w:rsid w:val="00FB1EAC"/>
    <w:rsid w:val="00FB2957"/>
    <w:rsid w:val="00FC1797"/>
    <w:rsid w:val="00FE7FB1"/>
    <w:rsid w:val="00FF6F4B"/>
    <w:rsid w:val="010024D9"/>
    <w:rsid w:val="016AC7E7"/>
    <w:rsid w:val="01C8C5B8"/>
    <w:rsid w:val="021E5898"/>
    <w:rsid w:val="0266B6A6"/>
    <w:rsid w:val="02D8F1A7"/>
    <w:rsid w:val="039AAC08"/>
    <w:rsid w:val="03C19F2B"/>
    <w:rsid w:val="03C3D399"/>
    <w:rsid w:val="03DA198F"/>
    <w:rsid w:val="03F72FB6"/>
    <w:rsid w:val="04A1FC5F"/>
    <w:rsid w:val="052967ED"/>
    <w:rsid w:val="0587BC99"/>
    <w:rsid w:val="064D2F9F"/>
    <w:rsid w:val="0683D19C"/>
    <w:rsid w:val="06A07781"/>
    <w:rsid w:val="06C698EA"/>
    <w:rsid w:val="07307551"/>
    <w:rsid w:val="07932308"/>
    <w:rsid w:val="07B4EC64"/>
    <w:rsid w:val="07C726ED"/>
    <w:rsid w:val="07E00125"/>
    <w:rsid w:val="08241749"/>
    <w:rsid w:val="0835483E"/>
    <w:rsid w:val="084BFE4C"/>
    <w:rsid w:val="085CE7FE"/>
    <w:rsid w:val="0867559F"/>
    <w:rsid w:val="087ECFCA"/>
    <w:rsid w:val="088820A1"/>
    <w:rsid w:val="08891009"/>
    <w:rsid w:val="088DD45B"/>
    <w:rsid w:val="08BA0330"/>
    <w:rsid w:val="08C28C92"/>
    <w:rsid w:val="090D21E4"/>
    <w:rsid w:val="09633855"/>
    <w:rsid w:val="09AAA264"/>
    <w:rsid w:val="0A1AA465"/>
    <w:rsid w:val="0A99A43B"/>
    <w:rsid w:val="0B3DF7DC"/>
    <w:rsid w:val="0B4753D7"/>
    <w:rsid w:val="0C424980"/>
    <w:rsid w:val="0C6AB896"/>
    <w:rsid w:val="0C9ABC5D"/>
    <w:rsid w:val="0CDE4892"/>
    <w:rsid w:val="0D3F3477"/>
    <w:rsid w:val="0D84B3FA"/>
    <w:rsid w:val="0E61A0FD"/>
    <w:rsid w:val="0E7DDF48"/>
    <w:rsid w:val="0E9CFCDF"/>
    <w:rsid w:val="0F12FAEE"/>
    <w:rsid w:val="0F1E198C"/>
    <w:rsid w:val="0F3C9311"/>
    <w:rsid w:val="0FC9DF20"/>
    <w:rsid w:val="106D6720"/>
    <w:rsid w:val="108A86A6"/>
    <w:rsid w:val="10A1FB03"/>
    <w:rsid w:val="10AFFAAF"/>
    <w:rsid w:val="1118F3C9"/>
    <w:rsid w:val="11625903"/>
    <w:rsid w:val="1175E886"/>
    <w:rsid w:val="11E6D708"/>
    <w:rsid w:val="121E5415"/>
    <w:rsid w:val="1223DDF8"/>
    <w:rsid w:val="126BCB93"/>
    <w:rsid w:val="12C08166"/>
    <w:rsid w:val="13274A0D"/>
    <w:rsid w:val="13681076"/>
    <w:rsid w:val="13D08702"/>
    <w:rsid w:val="13D8E4FA"/>
    <w:rsid w:val="1405EF67"/>
    <w:rsid w:val="14645352"/>
    <w:rsid w:val="14B91673"/>
    <w:rsid w:val="14E150BB"/>
    <w:rsid w:val="15007DCE"/>
    <w:rsid w:val="15240675"/>
    <w:rsid w:val="15848411"/>
    <w:rsid w:val="158CA36D"/>
    <w:rsid w:val="15E708CC"/>
    <w:rsid w:val="1673D637"/>
    <w:rsid w:val="1681412B"/>
    <w:rsid w:val="171CA92A"/>
    <w:rsid w:val="17227B55"/>
    <w:rsid w:val="1741CFC0"/>
    <w:rsid w:val="17584CC8"/>
    <w:rsid w:val="17A41474"/>
    <w:rsid w:val="188CA167"/>
    <w:rsid w:val="18C4442F"/>
    <w:rsid w:val="18DB9E6B"/>
    <w:rsid w:val="1928C59C"/>
    <w:rsid w:val="1969E4EC"/>
    <w:rsid w:val="19F27624"/>
    <w:rsid w:val="1A048F22"/>
    <w:rsid w:val="1A18408F"/>
    <w:rsid w:val="1A51C7E2"/>
    <w:rsid w:val="1A64B1E3"/>
    <w:rsid w:val="1A8CACE4"/>
    <w:rsid w:val="1AB57466"/>
    <w:rsid w:val="1B0C7908"/>
    <w:rsid w:val="1B30E72B"/>
    <w:rsid w:val="1B94D422"/>
    <w:rsid w:val="1BFB85D1"/>
    <w:rsid w:val="1C008244"/>
    <w:rsid w:val="1C023FED"/>
    <w:rsid w:val="1C026BFA"/>
    <w:rsid w:val="1C187D02"/>
    <w:rsid w:val="1C22AA84"/>
    <w:rsid w:val="1C5F5C56"/>
    <w:rsid w:val="1CAB2BAB"/>
    <w:rsid w:val="1CF5B0FB"/>
    <w:rsid w:val="1D55C88C"/>
    <w:rsid w:val="1DF917C5"/>
    <w:rsid w:val="1E732094"/>
    <w:rsid w:val="1ECC74E4"/>
    <w:rsid w:val="1FCCA403"/>
    <w:rsid w:val="1FD721C5"/>
    <w:rsid w:val="209D23F0"/>
    <w:rsid w:val="20E947A6"/>
    <w:rsid w:val="211DAFB3"/>
    <w:rsid w:val="21C1B28A"/>
    <w:rsid w:val="226C3FC0"/>
    <w:rsid w:val="227F1061"/>
    <w:rsid w:val="235C475F"/>
    <w:rsid w:val="2381A944"/>
    <w:rsid w:val="2471D294"/>
    <w:rsid w:val="249B500E"/>
    <w:rsid w:val="252A30A9"/>
    <w:rsid w:val="2563FA60"/>
    <w:rsid w:val="256CA168"/>
    <w:rsid w:val="25D6B6EF"/>
    <w:rsid w:val="261219EA"/>
    <w:rsid w:val="264C7E4E"/>
    <w:rsid w:val="26AE4C0A"/>
    <w:rsid w:val="26B2B158"/>
    <w:rsid w:val="27026718"/>
    <w:rsid w:val="27800022"/>
    <w:rsid w:val="27A15318"/>
    <w:rsid w:val="27AC8DBF"/>
    <w:rsid w:val="27BAC984"/>
    <w:rsid w:val="284CC909"/>
    <w:rsid w:val="28E75779"/>
    <w:rsid w:val="2906A9EC"/>
    <w:rsid w:val="2918E79B"/>
    <w:rsid w:val="297948FC"/>
    <w:rsid w:val="29CCC46F"/>
    <w:rsid w:val="29E21253"/>
    <w:rsid w:val="2A39F9FE"/>
    <w:rsid w:val="2A92DECD"/>
    <w:rsid w:val="2AA95CFA"/>
    <w:rsid w:val="2B014B74"/>
    <w:rsid w:val="2B81BD2D"/>
    <w:rsid w:val="2BABCC2E"/>
    <w:rsid w:val="2BBAE511"/>
    <w:rsid w:val="2BCD045D"/>
    <w:rsid w:val="2BF8DEC9"/>
    <w:rsid w:val="2CEBF69E"/>
    <w:rsid w:val="2D479C8F"/>
    <w:rsid w:val="2D58220C"/>
    <w:rsid w:val="2DC01A3A"/>
    <w:rsid w:val="2E1EA98A"/>
    <w:rsid w:val="2E50D0EA"/>
    <w:rsid w:val="2E716235"/>
    <w:rsid w:val="2E979C93"/>
    <w:rsid w:val="2EBB4034"/>
    <w:rsid w:val="2F39A6C3"/>
    <w:rsid w:val="2FEAC710"/>
    <w:rsid w:val="300F493C"/>
    <w:rsid w:val="301C24B7"/>
    <w:rsid w:val="303B0CFB"/>
    <w:rsid w:val="30552E50"/>
    <w:rsid w:val="308FC2CE"/>
    <w:rsid w:val="309C9C3F"/>
    <w:rsid w:val="30CB4DD8"/>
    <w:rsid w:val="30F3EB00"/>
    <w:rsid w:val="3108FB85"/>
    <w:rsid w:val="313FBDC2"/>
    <w:rsid w:val="3148F143"/>
    <w:rsid w:val="31A02717"/>
    <w:rsid w:val="31DFC3DA"/>
    <w:rsid w:val="31F0FEB1"/>
    <w:rsid w:val="326983A3"/>
    <w:rsid w:val="3279D86A"/>
    <w:rsid w:val="327CD8E3"/>
    <w:rsid w:val="34AD39A6"/>
    <w:rsid w:val="35047EB1"/>
    <w:rsid w:val="35428F46"/>
    <w:rsid w:val="3546514B"/>
    <w:rsid w:val="3553700B"/>
    <w:rsid w:val="364BB196"/>
    <w:rsid w:val="36652DFA"/>
    <w:rsid w:val="36E2D119"/>
    <w:rsid w:val="36E417C4"/>
    <w:rsid w:val="37132B25"/>
    <w:rsid w:val="371C6248"/>
    <w:rsid w:val="3743808B"/>
    <w:rsid w:val="3748C53F"/>
    <w:rsid w:val="374DD423"/>
    <w:rsid w:val="37504A06"/>
    <w:rsid w:val="3759BFCA"/>
    <w:rsid w:val="376B62A5"/>
    <w:rsid w:val="37B24CE0"/>
    <w:rsid w:val="37E93646"/>
    <w:rsid w:val="37F778EE"/>
    <w:rsid w:val="38162D9B"/>
    <w:rsid w:val="3833F34B"/>
    <w:rsid w:val="3862DF3F"/>
    <w:rsid w:val="38ACCC30"/>
    <w:rsid w:val="395E6BFC"/>
    <w:rsid w:val="3964158A"/>
    <w:rsid w:val="39FD80C6"/>
    <w:rsid w:val="3AFFE5EB"/>
    <w:rsid w:val="3B174419"/>
    <w:rsid w:val="3B3623FE"/>
    <w:rsid w:val="3B806983"/>
    <w:rsid w:val="3BA8C6C0"/>
    <w:rsid w:val="3BC53F04"/>
    <w:rsid w:val="3BF6A5A4"/>
    <w:rsid w:val="3C9D6D32"/>
    <w:rsid w:val="3D227681"/>
    <w:rsid w:val="3D3B71B9"/>
    <w:rsid w:val="3D490309"/>
    <w:rsid w:val="3D55C7A5"/>
    <w:rsid w:val="3DA33E62"/>
    <w:rsid w:val="3DAEB60D"/>
    <w:rsid w:val="3DD63E04"/>
    <w:rsid w:val="3DD6989C"/>
    <w:rsid w:val="3E5E0C0A"/>
    <w:rsid w:val="3E91910D"/>
    <w:rsid w:val="3F017E40"/>
    <w:rsid w:val="3FBA5394"/>
    <w:rsid w:val="400AB29B"/>
    <w:rsid w:val="400B0185"/>
    <w:rsid w:val="4052204B"/>
    <w:rsid w:val="4179464D"/>
    <w:rsid w:val="417E01F2"/>
    <w:rsid w:val="419651C3"/>
    <w:rsid w:val="41A0F96F"/>
    <w:rsid w:val="41A682FC"/>
    <w:rsid w:val="41C9D95C"/>
    <w:rsid w:val="42197B70"/>
    <w:rsid w:val="42419C7B"/>
    <w:rsid w:val="4274C7A5"/>
    <w:rsid w:val="434081BE"/>
    <w:rsid w:val="437539F5"/>
    <w:rsid w:val="4381A921"/>
    <w:rsid w:val="44AA04EB"/>
    <w:rsid w:val="45110A56"/>
    <w:rsid w:val="451C4A22"/>
    <w:rsid w:val="455DBE85"/>
    <w:rsid w:val="4561ECE7"/>
    <w:rsid w:val="4566E537"/>
    <w:rsid w:val="457A70C1"/>
    <w:rsid w:val="45A0265C"/>
    <w:rsid w:val="46254971"/>
    <w:rsid w:val="4652373B"/>
    <w:rsid w:val="46644DCB"/>
    <w:rsid w:val="4679ACD1"/>
    <w:rsid w:val="46A366FF"/>
    <w:rsid w:val="46CEC1B8"/>
    <w:rsid w:val="46E1985D"/>
    <w:rsid w:val="47623280"/>
    <w:rsid w:val="479E859F"/>
    <w:rsid w:val="47B52E34"/>
    <w:rsid w:val="47B94823"/>
    <w:rsid w:val="4853EE51"/>
    <w:rsid w:val="48B275EC"/>
    <w:rsid w:val="48CFC0C2"/>
    <w:rsid w:val="48FACFB1"/>
    <w:rsid w:val="495B51B7"/>
    <w:rsid w:val="49F23912"/>
    <w:rsid w:val="4A129DF6"/>
    <w:rsid w:val="4A849810"/>
    <w:rsid w:val="4AE2C985"/>
    <w:rsid w:val="4B4B93A3"/>
    <w:rsid w:val="4B64BC00"/>
    <w:rsid w:val="4B67D3AB"/>
    <w:rsid w:val="4B89A55D"/>
    <w:rsid w:val="4B8B8F13"/>
    <w:rsid w:val="4B912D41"/>
    <w:rsid w:val="4BA09C2B"/>
    <w:rsid w:val="4BC4DEB7"/>
    <w:rsid w:val="4BF83F61"/>
    <w:rsid w:val="4C0830BE"/>
    <w:rsid w:val="4C28D003"/>
    <w:rsid w:val="4C776480"/>
    <w:rsid w:val="4D2BD9ED"/>
    <w:rsid w:val="4DC2FEBD"/>
    <w:rsid w:val="4DD7EEE3"/>
    <w:rsid w:val="4E1334E1"/>
    <w:rsid w:val="4E149E19"/>
    <w:rsid w:val="4E2D248A"/>
    <w:rsid w:val="4E7D8640"/>
    <w:rsid w:val="4E833465"/>
    <w:rsid w:val="4ED08AA4"/>
    <w:rsid w:val="4EDBA27E"/>
    <w:rsid w:val="4EF02A5A"/>
    <w:rsid w:val="4EF411E9"/>
    <w:rsid w:val="4F3A9BB4"/>
    <w:rsid w:val="4F5DC08D"/>
    <w:rsid w:val="4F8B9999"/>
    <w:rsid w:val="4FDD09DE"/>
    <w:rsid w:val="5175B397"/>
    <w:rsid w:val="518D27FD"/>
    <w:rsid w:val="51BAD527"/>
    <w:rsid w:val="5207D123"/>
    <w:rsid w:val="52261E8C"/>
    <w:rsid w:val="52B03C0D"/>
    <w:rsid w:val="52E22B9A"/>
    <w:rsid w:val="52E683C9"/>
    <w:rsid w:val="537CBDFB"/>
    <w:rsid w:val="538E2CAD"/>
    <w:rsid w:val="5422E084"/>
    <w:rsid w:val="544A687B"/>
    <w:rsid w:val="546B7F92"/>
    <w:rsid w:val="54E4C33E"/>
    <w:rsid w:val="55066311"/>
    <w:rsid w:val="551C878E"/>
    <w:rsid w:val="55201AF9"/>
    <w:rsid w:val="5534C840"/>
    <w:rsid w:val="553787C1"/>
    <w:rsid w:val="559E81F1"/>
    <w:rsid w:val="55B970B6"/>
    <w:rsid w:val="55BEB0E5"/>
    <w:rsid w:val="55E638DC"/>
    <w:rsid w:val="56617E24"/>
    <w:rsid w:val="56A1E3C1"/>
    <w:rsid w:val="56A423FA"/>
    <w:rsid w:val="56A51137"/>
    <w:rsid w:val="56B32F60"/>
    <w:rsid w:val="57388AAB"/>
    <w:rsid w:val="5742239A"/>
    <w:rsid w:val="58208C48"/>
    <w:rsid w:val="5895E784"/>
    <w:rsid w:val="58C305F0"/>
    <w:rsid w:val="58F38F2B"/>
    <w:rsid w:val="58F65265"/>
    <w:rsid w:val="58FB023C"/>
    <w:rsid w:val="5914B584"/>
    <w:rsid w:val="5946701C"/>
    <w:rsid w:val="5955E788"/>
    <w:rsid w:val="59BD61AA"/>
    <w:rsid w:val="59D4C789"/>
    <w:rsid w:val="5A38D44B"/>
    <w:rsid w:val="5A79DE0F"/>
    <w:rsid w:val="5B21EE08"/>
    <w:rsid w:val="5B8E7ECD"/>
    <w:rsid w:val="5BB33964"/>
    <w:rsid w:val="5C1EC84E"/>
    <w:rsid w:val="5C3DFCDE"/>
    <w:rsid w:val="5C780B2D"/>
    <w:rsid w:val="5C7AC7A5"/>
    <w:rsid w:val="5CFA8B08"/>
    <w:rsid w:val="5D151ECD"/>
    <w:rsid w:val="5DB09868"/>
    <w:rsid w:val="5DBD4F23"/>
    <w:rsid w:val="5DFC6DE3"/>
    <w:rsid w:val="5E3C05B7"/>
    <w:rsid w:val="5E57504A"/>
    <w:rsid w:val="5E761838"/>
    <w:rsid w:val="5ECE23A4"/>
    <w:rsid w:val="5F152E18"/>
    <w:rsid w:val="5F3CBDD9"/>
    <w:rsid w:val="5F8D4BD4"/>
    <w:rsid w:val="5FA547D0"/>
    <w:rsid w:val="5FAC00AF"/>
    <w:rsid w:val="60135176"/>
    <w:rsid w:val="60158E1F"/>
    <w:rsid w:val="6019363E"/>
    <w:rsid w:val="609042A6"/>
    <w:rsid w:val="60B5F609"/>
    <w:rsid w:val="60D4E8A3"/>
    <w:rsid w:val="61046F3F"/>
    <w:rsid w:val="61076A61"/>
    <w:rsid w:val="61B5069F"/>
    <w:rsid w:val="61F2F376"/>
    <w:rsid w:val="623B9403"/>
    <w:rsid w:val="624EBEE2"/>
    <w:rsid w:val="62772598"/>
    <w:rsid w:val="62A0FB58"/>
    <w:rsid w:val="62FA61D9"/>
    <w:rsid w:val="62FCC9CE"/>
    <w:rsid w:val="632EC655"/>
    <w:rsid w:val="63380738"/>
    <w:rsid w:val="641F36FA"/>
    <w:rsid w:val="6461E3D6"/>
    <w:rsid w:val="64B3F23E"/>
    <w:rsid w:val="64C5300D"/>
    <w:rsid w:val="654E36EA"/>
    <w:rsid w:val="65BCB636"/>
    <w:rsid w:val="661049CE"/>
    <w:rsid w:val="661A493B"/>
    <w:rsid w:val="66232C4C"/>
    <w:rsid w:val="66232FB9"/>
    <w:rsid w:val="664F031D"/>
    <w:rsid w:val="67577CB3"/>
    <w:rsid w:val="6757A3DE"/>
    <w:rsid w:val="679216EB"/>
    <w:rsid w:val="67D0996B"/>
    <w:rsid w:val="67EA7CC8"/>
    <w:rsid w:val="67F8C5ED"/>
    <w:rsid w:val="68439F0C"/>
    <w:rsid w:val="6858D7C4"/>
    <w:rsid w:val="6871DC34"/>
    <w:rsid w:val="68C3FDE4"/>
    <w:rsid w:val="69FCB023"/>
    <w:rsid w:val="6A236CC8"/>
    <w:rsid w:val="6A2400E1"/>
    <w:rsid w:val="6A26211C"/>
    <w:rsid w:val="6ACFAA00"/>
    <w:rsid w:val="6AEDBA5E"/>
    <w:rsid w:val="6B0D8367"/>
    <w:rsid w:val="6B77F03E"/>
    <w:rsid w:val="6BAA685F"/>
    <w:rsid w:val="6BC1A0E0"/>
    <w:rsid w:val="6C5275CD"/>
    <w:rsid w:val="6D3622C1"/>
    <w:rsid w:val="6D48F350"/>
    <w:rsid w:val="6D863430"/>
    <w:rsid w:val="6E34BCB0"/>
    <w:rsid w:val="6E50EEC0"/>
    <w:rsid w:val="6EB39E26"/>
    <w:rsid w:val="6EC510C8"/>
    <w:rsid w:val="6EEBFEEC"/>
    <w:rsid w:val="6EEC2ED9"/>
    <w:rsid w:val="6F0CFB9A"/>
    <w:rsid w:val="6F333F68"/>
    <w:rsid w:val="6F34AF12"/>
    <w:rsid w:val="6FA4678E"/>
    <w:rsid w:val="6FC71148"/>
    <w:rsid w:val="70472B98"/>
    <w:rsid w:val="708A9745"/>
    <w:rsid w:val="70B47BAA"/>
    <w:rsid w:val="70C85B1E"/>
    <w:rsid w:val="71026966"/>
    <w:rsid w:val="711F9163"/>
    <w:rsid w:val="712BC857"/>
    <w:rsid w:val="7158D782"/>
    <w:rsid w:val="7165E260"/>
    <w:rsid w:val="71A53D1F"/>
    <w:rsid w:val="71C5D888"/>
    <w:rsid w:val="71F58A83"/>
    <w:rsid w:val="71FB1921"/>
    <w:rsid w:val="720914E5"/>
    <w:rsid w:val="720D5B7D"/>
    <w:rsid w:val="7259A1E6"/>
    <w:rsid w:val="7281EDEC"/>
    <w:rsid w:val="73455B83"/>
    <w:rsid w:val="73AE2A3E"/>
    <w:rsid w:val="73DCF75E"/>
    <w:rsid w:val="741C1745"/>
    <w:rsid w:val="742582BC"/>
    <w:rsid w:val="74A9BA94"/>
    <w:rsid w:val="751E3388"/>
    <w:rsid w:val="7594467F"/>
    <w:rsid w:val="75B2934E"/>
    <w:rsid w:val="75D2DDD9"/>
    <w:rsid w:val="76E7B0A1"/>
    <w:rsid w:val="77158494"/>
    <w:rsid w:val="772528F0"/>
    <w:rsid w:val="77536863"/>
    <w:rsid w:val="7766B0AD"/>
    <w:rsid w:val="77758E03"/>
    <w:rsid w:val="779D15FA"/>
    <w:rsid w:val="779DE039"/>
    <w:rsid w:val="77C3B42A"/>
    <w:rsid w:val="781CA045"/>
    <w:rsid w:val="7842FAE4"/>
    <w:rsid w:val="789530A5"/>
    <w:rsid w:val="7987B4AD"/>
    <w:rsid w:val="79DE29D4"/>
    <w:rsid w:val="79EB6AB7"/>
    <w:rsid w:val="7A5EEBA0"/>
    <w:rsid w:val="7AB5B245"/>
    <w:rsid w:val="7AF7E12B"/>
    <w:rsid w:val="7B4A77A6"/>
    <w:rsid w:val="7D0FCD64"/>
    <w:rsid w:val="7DC666FB"/>
    <w:rsid w:val="7E377E1E"/>
    <w:rsid w:val="7E406781"/>
    <w:rsid w:val="7EF3A80F"/>
    <w:rsid w:val="7F5C64A0"/>
    <w:rsid w:val="7F690A6F"/>
    <w:rsid w:val="7FA4E491"/>
    <w:rsid w:val="7FB142D0"/>
    <w:rsid w:val="7FCEF785"/>
    <w:rsid w:val="7FF88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27EF"/>
  <w15:chartTrackingRefBased/>
  <w15:docId w15:val="{0D2D7B26-8E11-4E77-A237-EFA331F0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8D"/>
    <w:pPr>
      <w:spacing w:after="0" w:line="240" w:lineRule="auto"/>
    </w:pPr>
    <w:rPr>
      <w:rFonts w:ascii="Times New Roman" w:eastAsia="Times New Roman" w:hAnsi="Times New Roman" w:cs="Times New Roman"/>
      <w:noProo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88D"/>
    <w:pPr>
      <w:ind w:left="720"/>
      <w:contextualSpacing/>
    </w:pPr>
  </w:style>
  <w:style w:type="paragraph" w:styleId="BalloonText">
    <w:name w:val="Balloon Text"/>
    <w:basedOn w:val="Normal"/>
    <w:link w:val="BalloonTextChar"/>
    <w:uiPriority w:val="99"/>
    <w:semiHidden/>
    <w:unhideWhenUsed/>
    <w:rsid w:val="00F76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97"/>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76097"/>
    <w:rPr>
      <w:sz w:val="16"/>
      <w:szCs w:val="16"/>
    </w:rPr>
  </w:style>
  <w:style w:type="paragraph" w:styleId="CommentText">
    <w:name w:val="annotation text"/>
    <w:basedOn w:val="Normal"/>
    <w:link w:val="CommentTextChar"/>
    <w:uiPriority w:val="99"/>
    <w:semiHidden/>
    <w:unhideWhenUsed/>
    <w:rsid w:val="00F76097"/>
    <w:rPr>
      <w:sz w:val="20"/>
      <w:szCs w:val="20"/>
    </w:rPr>
  </w:style>
  <w:style w:type="character" w:customStyle="1" w:styleId="CommentTextChar">
    <w:name w:val="Comment Text Char"/>
    <w:basedOn w:val="DefaultParagraphFont"/>
    <w:link w:val="CommentText"/>
    <w:uiPriority w:val="99"/>
    <w:semiHidden/>
    <w:rsid w:val="00F7609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76097"/>
    <w:rPr>
      <w:b/>
      <w:bCs/>
    </w:rPr>
  </w:style>
  <w:style w:type="character" w:customStyle="1" w:styleId="CommentSubjectChar">
    <w:name w:val="Comment Subject Char"/>
    <w:basedOn w:val="CommentTextChar"/>
    <w:link w:val="CommentSubject"/>
    <w:uiPriority w:val="99"/>
    <w:semiHidden/>
    <w:rsid w:val="00F76097"/>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CD68DC"/>
    <w:rPr>
      <w:color w:val="0563C1" w:themeColor="hyperlink"/>
      <w:u w:val="single"/>
    </w:rPr>
  </w:style>
  <w:style w:type="character" w:customStyle="1" w:styleId="UnresolvedMention1">
    <w:name w:val="Unresolved Mention1"/>
    <w:basedOn w:val="DefaultParagraphFont"/>
    <w:uiPriority w:val="99"/>
    <w:semiHidden/>
    <w:unhideWhenUsed/>
    <w:rsid w:val="00CD68DC"/>
    <w:rPr>
      <w:color w:val="605E5C"/>
      <w:shd w:val="clear" w:color="auto" w:fill="E1DFDD"/>
    </w:rPr>
  </w:style>
  <w:style w:type="character" w:styleId="FollowedHyperlink">
    <w:name w:val="FollowedHyperlink"/>
    <w:basedOn w:val="DefaultParagraphFont"/>
    <w:uiPriority w:val="99"/>
    <w:semiHidden/>
    <w:unhideWhenUsed/>
    <w:rsid w:val="00C66E27"/>
    <w:rPr>
      <w:color w:val="954F72" w:themeColor="followedHyperlink"/>
      <w:u w:val="single"/>
    </w:rPr>
  </w:style>
  <w:style w:type="paragraph" w:styleId="Revision">
    <w:name w:val="Revision"/>
    <w:hidden/>
    <w:uiPriority w:val="99"/>
    <w:semiHidden/>
    <w:rsid w:val="0045008C"/>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3F0B5F"/>
    <w:rPr>
      <w:sz w:val="20"/>
      <w:szCs w:val="20"/>
    </w:rPr>
  </w:style>
  <w:style w:type="character" w:customStyle="1" w:styleId="FootnoteTextChar">
    <w:name w:val="Footnote Text Char"/>
    <w:basedOn w:val="DefaultParagraphFont"/>
    <w:link w:val="FootnoteText"/>
    <w:rsid w:val="003F0B5F"/>
    <w:rPr>
      <w:rFonts w:ascii="Times New Roman" w:eastAsia="Times New Roman" w:hAnsi="Times New Roman" w:cs="Times New Roman"/>
      <w:sz w:val="20"/>
      <w:szCs w:val="20"/>
      <w:lang w:eastAsia="en-GB"/>
    </w:rPr>
  </w:style>
  <w:style w:type="character" w:styleId="FootnoteReference">
    <w:name w:val="footnote reference"/>
    <w:rsid w:val="003F0B5F"/>
    <w:rPr>
      <w:vertAlign w:val="superscript"/>
    </w:rPr>
  </w:style>
  <w:style w:type="table" w:customStyle="1" w:styleId="TableGrid1">
    <w:name w:val="Table Grid1"/>
    <w:basedOn w:val="TableNormal"/>
    <w:next w:val="TableGrid"/>
    <w:uiPriority w:val="39"/>
    <w:rsid w:val="00B6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43AA9"/>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Default">
    <w:name w:val="Default"/>
    <w:rsid w:val="001A75CE"/>
    <w:pPr>
      <w:autoSpaceDE w:val="0"/>
      <w:autoSpaceDN w:val="0"/>
      <w:adjustRightInd w:val="0"/>
      <w:spacing w:after="0" w:line="240" w:lineRule="auto"/>
    </w:pPr>
    <w:rPr>
      <w:rFonts w:ascii="Symbol" w:hAnsi="Symbol" w:cs="Symbol"/>
      <w:color w:val="000000"/>
      <w:sz w:val="24"/>
      <w:szCs w:val="24"/>
    </w:rPr>
  </w:style>
  <w:style w:type="table" w:styleId="TableGridLight">
    <w:name w:val="Grid Table Light"/>
    <w:basedOn w:val="TableNormal"/>
    <w:uiPriority w:val="40"/>
    <w:rsid w:val="00A31D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6865">
      <w:bodyDiv w:val="1"/>
      <w:marLeft w:val="0"/>
      <w:marRight w:val="0"/>
      <w:marTop w:val="0"/>
      <w:marBottom w:val="0"/>
      <w:divBdr>
        <w:top w:val="none" w:sz="0" w:space="0" w:color="auto"/>
        <w:left w:val="none" w:sz="0" w:space="0" w:color="auto"/>
        <w:bottom w:val="none" w:sz="0" w:space="0" w:color="auto"/>
        <w:right w:val="none" w:sz="0" w:space="0" w:color="auto"/>
      </w:divBdr>
    </w:div>
    <w:div w:id="486671826">
      <w:bodyDiv w:val="1"/>
      <w:marLeft w:val="0"/>
      <w:marRight w:val="0"/>
      <w:marTop w:val="0"/>
      <w:marBottom w:val="0"/>
      <w:divBdr>
        <w:top w:val="none" w:sz="0" w:space="0" w:color="auto"/>
        <w:left w:val="none" w:sz="0" w:space="0" w:color="auto"/>
        <w:bottom w:val="none" w:sz="0" w:space="0" w:color="auto"/>
        <w:right w:val="none" w:sz="0" w:space="0" w:color="auto"/>
      </w:divBdr>
    </w:div>
    <w:div w:id="833297079">
      <w:bodyDiv w:val="1"/>
      <w:marLeft w:val="0"/>
      <w:marRight w:val="0"/>
      <w:marTop w:val="0"/>
      <w:marBottom w:val="0"/>
      <w:divBdr>
        <w:top w:val="none" w:sz="0" w:space="0" w:color="auto"/>
        <w:left w:val="none" w:sz="0" w:space="0" w:color="auto"/>
        <w:bottom w:val="none" w:sz="0" w:space="0" w:color="auto"/>
        <w:right w:val="none" w:sz="0" w:space="0" w:color="auto"/>
      </w:divBdr>
    </w:div>
    <w:div w:id="849754525">
      <w:bodyDiv w:val="1"/>
      <w:marLeft w:val="0"/>
      <w:marRight w:val="0"/>
      <w:marTop w:val="0"/>
      <w:marBottom w:val="0"/>
      <w:divBdr>
        <w:top w:val="none" w:sz="0" w:space="0" w:color="auto"/>
        <w:left w:val="none" w:sz="0" w:space="0" w:color="auto"/>
        <w:bottom w:val="none" w:sz="0" w:space="0" w:color="auto"/>
        <w:right w:val="none" w:sz="0" w:space="0" w:color="auto"/>
      </w:divBdr>
    </w:div>
    <w:div w:id="1508866137">
      <w:bodyDiv w:val="1"/>
      <w:marLeft w:val="0"/>
      <w:marRight w:val="0"/>
      <w:marTop w:val="0"/>
      <w:marBottom w:val="0"/>
      <w:divBdr>
        <w:top w:val="none" w:sz="0" w:space="0" w:color="auto"/>
        <w:left w:val="none" w:sz="0" w:space="0" w:color="auto"/>
        <w:bottom w:val="none" w:sz="0" w:space="0" w:color="auto"/>
        <w:right w:val="none" w:sz="0" w:space="0" w:color="auto"/>
      </w:divBdr>
    </w:div>
    <w:div w:id="1593512485">
      <w:bodyDiv w:val="1"/>
      <w:marLeft w:val="0"/>
      <w:marRight w:val="0"/>
      <w:marTop w:val="0"/>
      <w:marBottom w:val="0"/>
      <w:divBdr>
        <w:top w:val="none" w:sz="0" w:space="0" w:color="auto"/>
        <w:left w:val="none" w:sz="0" w:space="0" w:color="auto"/>
        <w:bottom w:val="none" w:sz="0" w:space="0" w:color="auto"/>
        <w:right w:val="none" w:sz="0" w:space="0" w:color="auto"/>
      </w:divBdr>
    </w:div>
    <w:div w:id="1656684599">
      <w:bodyDiv w:val="1"/>
      <w:marLeft w:val="0"/>
      <w:marRight w:val="0"/>
      <w:marTop w:val="0"/>
      <w:marBottom w:val="0"/>
      <w:divBdr>
        <w:top w:val="none" w:sz="0" w:space="0" w:color="auto"/>
        <w:left w:val="none" w:sz="0" w:space="0" w:color="auto"/>
        <w:bottom w:val="none" w:sz="0" w:space="0" w:color="auto"/>
        <w:right w:val="none" w:sz="0" w:space="0" w:color="auto"/>
      </w:divBdr>
    </w:div>
    <w:div w:id="18792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jpg@01D7CA58.85B196E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9CCCB3FD0DA24790452C096217ECA2" ma:contentTypeVersion="6" ma:contentTypeDescription="Create a new document." ma:contentTypeScope="" ma:versionID="6a52cad621387f663a83986fbb0b726d">
  <xsd:schema xmlns:xsd="http://www.w3.org/2001/XMLSchema" xmlns:xs="http://www.w3.org/2001/XMLSchema" xmlns:p="http://schemas.microsoft.com/office/2006/metadata/properties" xmlns:ns2="8d65ac23-9282-402c-accf-18911fe42c56" xmlns:ns3="7b76ae1f-d132-4d9a-8577-1cf20d208d5f" targetNamespace="http://schemas.microsoft.com/office/2006/metadata/properties" ma:root="true" ma:fieldsID="9a1e0d06cefa24ed68728825d9ce6488" ns2:_="" ns3:_="">
    <xsd:import namespace="8d65ac23-9282-402c-accf-18911fe42c56"/>
    <xsd:import namespace="7b76ae1f-d132-4d9a-8577-1cf20d208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5ac23-9282-402c-accf-18911fe42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76ae1f-d132-4d9a-8577-1cf20d208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C14E5-41F6-4F7E-ADD3-ED17D635038A}">
  <ds:schemaRefs>
    <ds:schemaRef ds:uri="http://schemas.microsoft.com/sharepoint/v3/contenttype/forms"/>
  </ds:schemaRefs>
</ds:datastoreItem>
</file>

<file path=customXml/itemProps2.xml><?xml version="1.0" encoding="utf-8"?>
<ds:datastoreItem xmlns:ds="http://schemas.openxmlformats.org/officeDocument/2006/customXml" ds:itemID="{A7D76501-A939-4F0A-B7F8-9BF3B5635C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8BFD89-4014-47BF-A166-895C748EB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5ac23-9282-402c-accf-18911fe42c56"/>
    <ds:schemaRef ds:uri="7b76ae1f-d132-4d9a-8577-1cf20d208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221CF-E711-4BE5-B3F6-61663FD6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dc:creator>
  <cp:keywords/>
  <dc:description/>
  <cp:lastModifiedBy>Delonnette, Heather</cp:lastModifiedBy>
  <cp:revision>3</cp:revision>
  <dcterms:created xsi:type="dcterms:W3CDTF">2024-12-02T15:40:00Z</dcterms:created>
  <dcterms:modified xsi:type="dcterms:W3CDTF">2024-12-02T15:43:00Z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0x010100279CCCB3FD0DA24790452C096217ECA2</vt:lpwstr>
  </property>
</Properties>
</file>