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7B50" w:rsidRDefault="007A7B50" w:rsidP="007A7B50">
      <w:pPr>
        <w:jc w:val="center"/>
        <w:rPr>
          <w:b/>
          <w:bCs/>
          <w:color w:val="000000" w:themeColor="text1"/>
          <w:sz w:val="28"/>
          <w:szCs w:val="28"/>
        </w:rPr>
      </w:pPr>
      <w:r w:rsidRPr="008459A3">
        <w:rPr>
          <w:b/>
          <w:bCs/>
          <w:color w:val="000000" w:themeColor="text1"/>
          <w:sz w:val="28"/>
          <w:szCs w:val="28"/>
        </w:rPr>
        <w:t xml:space="preserve">Gwent </w:t>
      </w:r>
      <w:r w:rsidR="00DF2453" w:rsidRPr="008459A3">
        <w:rPr>
          <w:b/>
          <w:bCs/>
          <w:color w:val="000000" w:themeColor="text1"/>
          <w:sz w:val="28"/>
          <w:szCs w:val="28"/>
        </w:rPr>
        <w:t xml:space="preserve">Strategic </w:t>
      </w:r>
      <w:r w:rsidRPr="008459A3">
        <w:rPr>
          <w:b/>
          <w:bCs/>
          <w:color w:val="000000" w:themeColor="text1"/>
          <w:sz w:val="28"/>
          <w:szCs w:val="28"/>
        </w:rPr>
        <w:t xml:space="preserve">Safer Communities Partnership </w:t>
      </w:r>
      <w:r w:rsidR="00AE45EA">
        <w:rPr>
          <w:b/>
          <w:bCs/>
          <w:color w:val="000000" w:themeColor="text1"/>
          <w:sz w:val="28"/>
          <w:szCs w:val="28"/>
        </w:rPr>
        <w:t>Board</w:t>
      </w:r>
    </w:p>
    <w:p w:rsidR="007A7B50" w:rsidRPr="008459A3" w:rsidRDefault="007A7B50" w:rsidP="007A7B50">
      <w:pPr>
        <w:jc w:val="center"/>
        <w:rPr>
          <w:i/>
          <w:iCs/>
          <w:sz w:val="28"/>
          <w:szCs w:val="28"/>
        </w:rPr>
      </w:pPr>
      <w:r>
        <w:rPr>
          <w:b/>
          <w:bCs/>
          <w:color w:val="000000" w:themeColor="text1"/>
          <w:sz w:val="28"/>
          <w:szCs w:val="28"/>
        </w:rPr>
        <w:t>Terms of Reference</w:t>
      </w:r>
    </w:p>
    <w:p w:rsidR="00A344D6" w:rsidRPr="0068020E" w:rsidRDefault="00D97761">
      <w:pPr>
        <w:rPr>
          <w:b/>
          <w:bCs/>
          <w:sz w:val="24"/>
          <w:szCs w:val="24"/>
        </w:rPr>
      </w:pPr>
      <w:r w:rsidRPr="0068020E">
        <w:rPr>
          <w:b/>
          <w:bCs/>
          <w:sz w:val="24"/>
          <w:szCs w:val="24"/>
        </w:rPr>
        <w:t>Purpose</w:t>
      </w:r>
    </w:p>
    <w:p w:rsidR="00754566" w:rsidRDefault="00754566" w:rsidP="00754566">
      <w:r>
        <w:t>The purpose of the Board is to provide</w:t>
      </w:r>
      <w:r w:rsidR="001F4005">
        <w:t xml:space="preserve"> </w:t>
      </w:r>
      <w:r w:rsidR="001F4005" w:rsidRPr="004F32D4">
        <w:t>strategic oversight</w:t>
      </w:r>
      <w:r w:rsidR="001F4005">
        <w:t xml:space="preserve"> and support to the </w:t>
      </w:r>
      <w:r w:rsidR="00E8101B">
        <w:t xml:space="preserve">various </w:t>
      </w:r>
      <w:r w:rsidR="001F4005">
        <w:t xml:space="preserve">boards and partnerships in Gwent </w:t>
      </w:r>
      <w:r w:rsidR="00534BF8">
        <w:t>that</w:t>
      </w:r>
      <w:r w:rsidR="001F4005">
        <w:t xml:space="preserve"> are focused on </w:t>
      </w:r>
      <w:r w:rsidR="00995BA1" w:rsidRPr="00AE45EA">
        <w:t>protecting communities, preventing crime, pursuing</w:t>
      </w:r>
      <w:r w:rsidR="005A2207">
        <w:t xml:space="preserve"> and reforming</w:t>
      </w:r>
      <w:r w:rsidR="00995BA1" w:rsidRPr="00AE45EA">
        <w:t xml:space="preserve"> </w:t>
      </w:r>
      <w:r w:rsidR="00E85E76">
        <w:t>offenders</w:t>
      </w:r>
      <w:r w:rsidR="002A0F5C">
        <w:t>,</w:t>
      </w:r>
      <w:r w:rsidR="00995BA1" w:rsidRPr="00AE45EA">
        <w:t xml:space="preserve"> and protecting and supporting </w:t>
      </w:r>
      <w:r w:rsidR="00E85E76">
        <w:t xml:space="preserve">victims and </w:t>
      </w:r>
      <w:r w:rsidR="00995BA1" w:rsidRPr="00AE45EA">
        <w:t>the vulnerable</w:t>
      </w:r>
      <w:r>
        <w:t>.</w:t>
      </w:r>
    </w:p>
    <w:p w:rsidR="002954AC" w:rsidRPr="00754566" w:rsidRDefault="00D977F3" w:rsidP="00754566">
      <w:r w:rsidRPr="00447D33">
        <w:rPr>
          <w:i/>
          <w:iCs/>
        </w:rPr>
        <w:t>(</w:t>
      </w:r>
      <w:r w:rsidR="00754566">
        <w:rPr>
          <w:i/>
          <w:iCs/>
        </w:rPr>
        <w:t>F</w:t>
      </w:r>
      <w:r w:rsidRPr="00447D33">
        <w:rPr>
          <w:i/>
          <w:iCs/>
        </w:rPr>
        <w:t xml:space="preserve">or ease, these </w:t>
      </w:r>
      <w:r w:rsidR="00754566">
        <w:rPr>
          <w:i/>
          <w:iCs/>
        </w:rPr>
        <w:t xml:space="preserve">boards and partnerships </w:t>
      </w:r>
      <w:r w:rsidRPr="00447D33">
        <w:rPr>
          <w:i/>
          <w:iCs/>
        </w:rPr>
        <w:t>will be known as ‘</w:t>
      </w:r>
      <w:r w:rsidR="00BB63F5" w:rsidRPr="00447D33">
        <w:rPr>
          <w:i/>
          <w:iCs/>
        </w:rPr>
        <w:t xml:space="preserve">Strategic </w:t>
      </w:r>
      <w:r w:rsidR="00055536" w:rsidRPr="00447D33">
        <w:rPr>
          <w:i/>
          <w:iCs/>
        </w:rPr>
        <w:t>Safer</w:t>
      </w:r>
      <w:r w:rsidR="008B0FD4" w:rsidRPr="00447D33">
        <w:rPr>
          <w:i/>
          <w:iCs/>
        </w:rPr>
        <w:t xml:space="preserve"> Communities</w:t>
      </w:r>
      <w:r w:rsidR="00262868" w:rsidRPr="00447D33">
        <w:rPr>
          <w:i/>
          <w:iCs/>
        </w:rPr>
        <w:t xml:space="preserve"> Partnerships</w:t>
      </w:r>
      <w:r w:rsidRPr="00447D33">
        <w:rPr>
          <w:i/>
          <w:iCs/>
        </w:rPr>
        <w:t xml:space="preserve">’ or </w:t>
      </w:r>
      <w:r w:rsidR="00BB63F5" w:rsidRPr="00447D33">
        <w:rPr>
          <w:i/>
          <w:iCs/>
        </w:rPr>
        <w:t>S</w:t>
      </w:r>
      <w:r w:rsidR="00262868" w:rsidRPr="00447D33">
        <w:rPr>
          <w:i/>
          <w:iCs/>
        </w:rPr>
        <w:t>S</w:t>
      </w:r>
      <w:r w:rsidRPr="00447D33">
        <w:rPr>
          <w:i/>
          <w:iCs/>
        </w:rPr>
        <w:t>C</w:t>
      </w:r>
      <w:r w:rsidR="00262868" w:rsidRPr="00447D33">
        <w:rPr>
          <w:i/>
          <w:iCs/>
        </w:rPr>
        <w:t>P</w:t>
      </w:r>
      <w:r w:rsidRPr="00447D33">
        <w:rPr>
          <w:i/>
          <w:iCs/>
        </w:rPr>
        <w:t>s</w:t>
      </w:r>
      <w:r w:rsidR="00F50FE4" w:rsidRPr="00447D33">
        <w:rPr>
          <w:i/>
          <w:iCs/>
        </w:rPr>
        <w:t>, which are listed below</w:t>
      </w:r>
      <w:r w:rsidRPr="00447D33">
        <w:rPr>
          <w:i/>
          <w:iCs/>
        </w:rPr>
        <w:t>)</w:t>
      </w:r>
    </w:p>
    <w:p w:rsidR="00754566" w:rsidRDefault="00754566" w:rsidP="00754566">
      <w:r>
        <w:t>This Board will ensure that:</w:t>
      </w:r>
    </w:p>
    <w:p w:rsidR="009F3C7E" w:rsidRDefault="002954AC" w:rsidP="009F3C7E">
      <w:pPr>
        <w:numPr>
          <w:ilvl w:val="0"/>
          <w:numId w:val="18"/>
        </w:numPr>
      </w:pPr>
      <w:r>
        <w:t xml:space="preserve">SSCP arrangements are compliant </w:t>
      </w:r>
      <w:r w:rsidR="00804DC0">
        <w:t>with</w:t>
      </w:r>
      <w:r w:rsidR="00445A28">
        <w:t xml:space="preserve"> </w:t>
      </w:r>
      <w:r>
        <w:t>relevant UK and Welsh Government legislation</w:t>
      </w:r>
      <w:r w:rsidRPr="00AE45EA">
        <w:t xml:space="preserve"> and regional prior</w:t>
      </w:r>
      <w:r>
        <w:t>ities</w:t>
      </w:r>
      <w:r w:rsidR="001A3AFE">
        <w:t>,</w:t>
      </w:r>
      <w:r w:rsidR="00F9058D">
        <w:t xml:space="preserve"> and</w:t>
      </w:r>
    </w:p>
    <w:p w:rsidR="00754566" w:rsidRDefault="00754566" w:rsidP="00754566">
      <w:pPr>
        <w:numPr>
          <w:ilvl w:val="0"/>
          <w:numId w:val="18"/>
        </w:numPr>
      </w:pPr>
      <w:r>
        <w:t>the</w:t>
      </w:r>
      <w:r w:rsidR="00287586" w:rsidRPr="00AE45EA">
        <w:t xml:space="preserve"> collective work of the </w:t>
      </w:r>
      <w:r w:rsidR="00287586">
        <w:t>SSCPs</w:t>
      </w:r>
      <w:r w:rsidR="00287586" w:rsidRPr="00AE45EA">
        <w:t xml:space="preserve"> </w:t>
      </w:r>
      <w:r w:rsidR="00777CE0">
        <w:t xml:space="preserve">is </w:t>
      </w:r>
      <w:r w:rsidR="00287586" w:rsidRPr="00AE45EA">
        <w:t>deliver</w:t>
      </w:r>
      <w:r w:rsidR="00777CE0">
        <w:t>ed</w:t>
      </w:r>
      <w:r w:rsidR="00287586" w:rsidRPr="00AE45EA">
        <w:t xml:space="preserve"> </w:t>
      </w:r>
      <w:r w:rsidR="00804DC0">
        <w:t>in the most</w:t>
      </w:r>
      <w:r w:rsidR="002224CA">
        <w:t xml:space="preserve"> effective, efficient and joined-up </w:t>
      </w:r>
      <w:r w:rsidR="00777CE0">
        <w:t xml:space="preserve">way </w:t>
      </w:r>
      <w:r w:rsidR="002224CA">
        <w:t>possible</w:t>
      </w:r>
      <w:r w:rsidR="00B65733">
        <w:t xml:space="preserve"> to maximise outcomes for communities. </w:t>
      </w:r>
    </w:p>
    <w:p w:rsidR="00754566" w:rsidRDefault="00754566" w:rsidP="00754566">
      <w:r w:rsidRPr="00AE45EA">
        <w:t xml:space="preserve">The </w:t>
      </w:r>
      <w:r>
        <w:t xml:space="preserve">Board will also act on behalf of, and provide assurance to, the Gwent Public Service Board in delivering the Gwent Wellbeing Plan goal: </w:t>
      </w:r>
      <w:r w:rsidRPr="00754566">
        <w:rPr>
          <w:i/>
          <w:iCs/>
        </w:rPr>
        <w:t>everyone lives in a place they feel safe</w:t>
      </w:r>
      <w:r>
        <w:t xml:space="preserve">. </w:t>
      </w:r>
    </w:p>
    <w:p w:rsidR="00754566" w:rsidRDefault="00754566" w:rsidP="00754566">
      <w:r>
        <w:t>By working better, together, within and across a range of partnerships, this will help achieve better outcomes for the people and communities in Gwent.</w:t>
      </w:r>
    </w:p>
    <w:p w:rsidR="002933B1" w:rsidRPr="0068020E" w:rsidRDefault="002933B1" w:rsidP="002933B1">
      <w:pPr>
        <w:rPr>
          <w:b/>
          <w:bCs/>
          <w:sz w:val="24"/>
          <w:szCs w:val="24"/>
        </w:rPr>
      </w:pPr>
      <w:r w:rsidRPr="0068020E">
        <w:rPr>
          <w:b/>
          <w:bCs/>
          <w:sz w:val="24"/>
          <w:szCs w:val="24"/>
        </w:rPr>
        <w:t>Key Roles and Responsibilities</w:t>
      </w:r>
    </w:p>
    <w:p w:rsidR="004B12AB" w:rsidRPr="00754A21" w:rsidRDefault="004B12AB" w:rsidP="00754A21">
      <w:r w:rsidRPr="00754A21">
        <w:t xml:space="preserve">The Board </w:t>
      </w:r>
      <w:r w:rsidR="003078BF">
        <w:t>will be</w:t>
      </w:r>
      <w:r w:rsidRPr="00754A21">
        <w:t xml:space="preserve"> responsible for:</w:t>
      </w:r>
    </w:p>
    <w:p w:rsidR="0036121E" w:rsidRPr="00DF2453" w:rsidRDefault="0044027D" w:rsidP="0036121E">
      <w:pPr>
        <w:numPr>
          <w:ilvl w:val="0"/>
          <w:numId w:val="17"/>
        </w:numPr>
      </w:pPr>
      <w:r w:rsidRPr="00DF2453">
        <w:t>E</w:t>
      </w:r>
      <w:r w:rsidR="00532EF7" w:rsidRPr="00DF2453">
        <w:t>nsuring</w:t>
      </w:r>
      <w:r w:rsidR="00FE4807" w:rsidRPr="00DF2453">
        <w:t xml:space="preserve"> SSCP</w:t>
      </w:r>
      <w:r w:rsidR="00CC4F9C" w:rsidRPr="00DF2453">
        <w:t>s comply</w:t>
      </w:r>
      <w:r w:rsidR="00FE4807" w:rsidRPr="00DF2453">
        <w:t xml:space="preserve"> with their relevant statutory duties and responsibilities stated in either UK and Welsh Government legislation</w:t>
      </w:r>
      <w:r w:rsidR="00C10BE7" w:rsidRPr="00DF2453">
        <w:t>,</w:t>
      </w:r>
      <w:r w:rsidR="00FE4807" w:rsidRPr="00DF2453">
        <w:t xml:space="preserve"> and intervening </w:t>
      </w:r>
      <w:r w:rsidR="008A3DF9" w:rsidRPr="00DF2453">
        <w:t xml:space="preserve">to remove barriers </w:t>
      </w:r>
      <w:r w:rsidR="00FE4807" w:rsidRPr="00DF2453">
        <w:t>when this is not the case</w:t>
      </w:r>
    </w:p>
    <w:p w:rsidR="00216E75" w:rsidRPr="00DF2453" w:rsidRDefault="00074507" w:rsidP="00152229">
      <w:pPr>
        <w:numPr>
          <w:ilvl w:val="0"/>
          <w:numId w:val="17"/>
        </w:numPr>
        <w:spacing w:after="60"/>
      </w:pPr>
      <w:r w:rsidRPr="00DF2453">
        <w:t xml:space="preserve">Ensuring </w:t>
      </w:r>
      <w:r w:rsidR="008E373E" w:rsidRPr="00DF2453">
        <w:t>effective partnership working within and across SSCPs by</w:t>
      </w:r>
      <w:r w:rsidR="00216E75" w:rsidRPr="00DF2453">
        <w:t>:</w:t>
      </w:r>
    </w:p>
    <w:p w:rsidR="00B32E66" w:rsidRPr="00DF2453" w:rsidRDefault="00B32E66" w:rsidP="00152229">
      <w:pPr>
        <w:numPr>
          <w:ilvl w:val="1"/>
          <w:numId w:val="17"/>
        </w:numPr>
        <w:spacing w:after="60" w:line="240" w:lineRule="auto"/>
        <w:ind w:left="1497" w:hanging="357"/>
      </w:pPr>
      <w:r w:rsidRPr="00DF2453">
        <w:t xml:space="preserve">de-conflicting </w:t>
      </w:r>
      <w:r w:rsidR="00CE0ED3" w:rsidRPr="00DF2453">
        <w:t xml:space="preserve">competing </w:t>
      </w:r>
      <w:r w:rsidRPr="00DF2453">
        <w:t xml:space="preserve">priorities </w:t>
      </w:r>
      <w:r w:rsidR="008948A8" w:rsidRPr="00DF2453">
        <w:t>and demands</w:t>
      </w:r>
    </w:p>
    <w:p w:rsidR="00101B7B" w:rsidRPr="00DF2453" w:rsidRDefault="003358F1" w:rsidP="00152229">
      <w:pPr>
        <w:numPr>
          <w:ilvl w:val="1"/>
          <w:numId w:val="17"/>
        </w:numPr>
        <w:spacing w:after="60" w:line="240" w:lineRule="auto"/>
        <w:ind w:left="1497" w:hanging="357"/>
      </w:pPr>
      <w:r w:rsidRPr="00DF2453">
        <w:t>securing</w:t>
      </w:r>
      <w:r w:rsidR="00876656" w:rsidRPr="00DF2453">
        <w:t xml:space="preserve"> opportunities to reduce duplication of effort</w:t>
      </w:r>
      <w:r w:rsidR="00B0400D" w:rsidRPr="00DF2453">
        <w:t xml:space="preserve"> </w:t>
      </w:r>
    </w:p>
    <w:p w:rsidR="00CE0ED3" w:rsidRPr="00DF2453" w:rsidRDefault="00CE0ED3" w:rsidP="00152229">
      <w:pPr>
        <w:numPr>
          <w:ilvl w:val="1"/>
          <w:numId w:val="17"/>
        </w:numPr>
        <w:spacing w:after="60" w:line="240" w:lineRule="auto"/>
        <w:ind w:left="1497" w:hanging="357"/>
      </w:pPr>
      <w:r w:rsidRPr="00DF2453">
        <w:t>minimising the likelihood of silo working, and</w:t>
      </w:r>
    </w:p>
    <w:p w:rsidR="008E373E" w:rsidRPr="00DF2453" w:rsidRDefault="00B0400D" w:rsidP="00152229">
      <w:pPr>
        <w:numPr>
          <w:ilvl w:val="1"/>
          <w:numId w:val="17"/>
        </w:numPr>
        <w:ind w:left="1497" w:hanging="357"/>
      </w:pPr>
      <w:r w:rsidRPr="00DF2453">
        <w:t>enabling effective collaboration</w:t>
      </w:r>
    </w:p>
    <w:p w:rsidR="002B13F5" w:rsidRPr="00DF2453" w:rsidRDefault="002B13F5" w:rsidP="008E373E">
      <w:pPr>
        <w:pStyle w:val="ListParagraph"/>
        <w:numPr>
          <w:ilvl w:val="0"/>
          <w:numId w:val="17"/>
        </w:numPr>
      </w:pPr>
      <w:r w:rsidRPr="00DF2453">
        <w:t>Provid</w:t>
      </w:r>
      <w:r w:rsidR="004A738A" w:rsidRPr="00DF2453">
        <w:t>ing</w:t>
      </w:r>
      <w:r w:rsidRPr="00DF2453">
        <w:t xml:space="preserve"> an escalation route for </w:t>
      </w:r>
      <w:r w:rsidR="00CE0A57" w:rsidRPr="00DF2453">
        <w:t>S</w:t>
      </w:r>
      <w:r w:rsidRPr="00DF2453">
        <w:t xml:space="preserve">SCPs </w:t>
      </w:r>
      <w:r w:rsidR="00FB0FB0" w:rsidRPr="00DF2453">
        <w:t>to resolve</w:t>
      </w:r>
      <w:r w:rsidRPr="00DF2453">
        <w:t xml:space="preserve"> issues that either cut across multiple partnerships or that a single </w:t>
      </w:r>
      <w:r w:rsidR="00CE0A57" w:rsidRPr="00DF2453">
        <w:t>S</w:t>
      </w:r>
      <w:r w:rsidRPr="00DF2453">
        <w:t xml:space="preserve">SCP </w:t>
      </w:r>
      <w:r w:rsidR="004A738A" w:rsidRPr="00DF2453">
        <w:t>is unable to</w:t>
      </w:r>
      <w:r w:rsidRPr="00DF2453">
        <w:t xml:space="preserve"> resolve in</w:t>
      </w:r>
      <w:r w:rsidR="00C03000" w:rsidRPr="00DF2453">
        <w:t>dependently</w:t>
      </w:r>
    </w:p>
    <w:p w:rsidR="00AE45EA" w:rsidRPr="00AE45EA" w:rsidRDefault="0003306D" w:rsidP="00AE45EA">
      <w:pPr>
        <w:numPr>
          <w:ilvl w:val="0"/>
          <w:numId w:val="17"/>
        </w:numPr>
      </w:pPr>
      <w:r w:rsidRPr="00DF2453">
        <w:t>Providing</w:t>
      </w:r>
      <w:r w:rsidR="00AE45EA" w:rsidRPr="00AE45EA">
        <w:t xml:space="preserve"> </w:t>
      </w:r>
      <w:r w:rsidR="004A738A" w:rsidRPr="00DF2453">
        <w:t>cross-SSCP</w:t>
      </w:r>
      <w:r w:rsidR="00BC7850" w:rsidRPr="00DF2453">
        <w:t xml:space="preserve"> strategic</w:t>
      </w:r>
      <w:r w:rsidR="004A738A" w:rsidRPr="00DF2453">
        <w:t xml:space="preserve"> </w:t>
      </w:r>
      <w:r w:rsidR="001226FB" w:rsidRPr="00DF2453">
        <w:t>prioritisation and direction</w:t>
      </w:r>
      <w:r w:rsidR="00B2278C" w:rsidRPr="00DF2453">
        <w:t>,</w:t>
      </w:r>
      <w:r w:rsidR="002877BC" w:rsidRPr="00DF2453">
        <w:t xml:space="preserve"> where required,</w:t>
      </w:r>
      <w:r w:rsidR="00AE45EA" w:rsidRPr="00AE45EA">
        <w:t xml:space="preserve"> </w:t>
      </w:r>
      <w:proofErr w:type="gramStart"/>
      <w:r w:rsidR="00AE45EA" w:rsidRPr="00AE45EA">
        <w:t>in order to</w:t>
      </w:r>
      <w:proofErr w:type="gramEnd"/>
      <w:r w:rsidR="00AE45EA" w:rsidRPr="00AE45EA">
        <w:t xml:space="preserve"> </w:t>
      </w:r>
      <w:r w:rsidR="00FE3CBC" w:rsidRPr="00DF2453">
        <w:t xml:space="preserve">remove barriers and </w:t>
      </w:r>
      <w:r w:rsidR="00B2278C" w:rsidRPr="00DF2453">
        <w:t>close</w:t>
      </w:r>
      <w:r w:rsidR="00AE45EA" w:rsidRPr="00AE45EA">
        <w:t xml:space="preserve"> any gaps</w:t>
      </w:r>
      <w:r w:rsidR="000E0D51" w:rsidRPr="00DF2453">
        <w:t xml:space="preserve"> or </w:t>
      </w:r>
      <w:r w:rsidR="00AE45EA" w:rsidRPr="00AE45EA">
        <w:t>challenges in resources</w:t>
      </w:r>
    </w:p>
    <w:p w:rsidR="00AE45EA" w:rsidRPr="00DF2453" w:rsidRDefault="008972CF" w:rsidP="00AE45EA">
      <w:pPr>
        <w:numPr>
          <w:ilvl w:val="0"/>
          <w:numId w:val="17"/>
        </w:numPr>
      </w:pPr>
      <w:r w:rsidRPr="00DF2453">
        <w:t>Agreeing</w:t>
      </w:r>
      <w:r w:rsidR="00D32323" w:rsidRPr="00DF2453">
        <w:t xml:space="preserve"> </w:t>
      </w:r>
      <w:r w:rsidR="00AE45EA" w:rsidRPr="00AE45EA">
        <w:t>opportunities</w:t>
      </w:r>
      <w:r w:rsidR="00B90A6C" w:rsidRPr="00DF2453">
        <w:t xml:space="preserve"> for</w:t>
      </w:r>
      <w:r w:rsidR="00AE45EA" w:rsidRPr="00AE45EA">
        <w:t xml:space="preserve"> the sharing of resources and applications for joint funding</w:t>
      </w:r>
      <w:r w:rsidRPr="00DF2453">
        <w:t>, which either sit outside of the responsibility of a single SSCP</w:t>
      </w:r>
      <w:r w:rsidR="004A738A" w:rsidRPr="00DF2453">
        <w:t xml:space="preserve"> or</w:t>
      </w:r>
      <w:r w:rsidR="00BC7E7A" w:rsidRPr="00DF2453">
        <w:t xml:space="preserve"> </w:t>
      </w:r>
      <w:r w:rsidR="00554DA2" w:rsidRPr="00DF2453">
        <w:t>cut across multiple SSCPs</w:t>
      </w:r>
      <w:r w:rsidR="004A738A" w:rsidRPr="00DF2453">
        <w:t xml:space="preserve"> </w:t>
      </w:r>
    </w:p>
    <w:p w:rsidR="00F13E41" w:rsidRPr="00DF2453" w:rsidRDefault="00A34543" w:rsidP="00F13E41">
      <w:pPr>
        <w:numPr>
          <w:ilvl w:val="0"/>
          <w:numId w:val="17"/>
        </w:numPr>
      </w:pPr>
      <w:r w:rsidRPr="00DF2453">
        <w:t xml:space="preserve">Agreeing </w:t>
      </w:r>
      <w:r w:rsidR="00D864CB" w:rsidRPr="00DF2453">
        <w:t>the most effective</w:t>
      </w:r>
      <w:r w:rsidR="00C82C79" w:rsidRPr="00DF2453">
        <w:t xml:space="preserve"> and efficient</w:t>
      </w:r>
      <w:r w:rsidR="00D864CB" w:rsidRPr="00DF2453">
        <w:t xml:space="preserve"> </w:t>
      </w:r>
      <w:r w:rsidR="005F2D1D" w:rsidRPr="00DF2453">
        <w:t xml:space="preserve">approach to managing new UK or Welsh Government policy initiatives that cross-over the </w:t>
      </w:r>
      <w:r w:rsidR="00132B0E" w:rsidRPr="00DF2453">
        <w:t xml:space="preserve">remit of multiple </w:t>
      </w:r>
      <w:r w:rsidR="002B6ADF" w:rsidRPr="00DF2453">
        <w:t>SSC</w:t>
      </w:r>
      <w:r w:rsidR="005F6DC5" w:rsidRPr="00DF2453">
        <w:t>Ps</w:t>
      </w:r>
    </w:p>
    <w:p w:rsidR="00E65A22" w:rsidRPr="00DF2453" w:rsidRDefault="00E65A22" w:rsidP="00F13E41">
      <w:pPr>
        <w:numPr>
          <w:ilvl w:val="0"/>
          <w:numId w:val="17"/>
        </w:numPr>
      </w:pPr>
      <w:r w:rsidRPr="00DF2453">
        <w:t>Tasking</w:t>
      </w:r>
      <w:r w:rsidR="008E3FE8">
        <w:t xml:space="preserve"> </w:t>
      </w:r>
      <w:r w:rsidRPr="00DF2453">
        <w:t>specific work programmes related to</w:t>
      </w:r>
      <w:r w:rsidR="001B69D2">
        <w:t xml:space="preserve"> UKG, WG</w:t>
      </w:r>
      <w:r w:rsidRPr="00DF2453">
        <w:t xml:space="preserve"> </w:t>
      </w:r>
      <w:r w:rsidR="001B69D2">
        <w:t xml:space="preserve">and </w:t>
      </w:r>
      <w:r w:rsidR="00DE62ED">
        <w:t>regional</w:t>
      </w:r>
      <w:r w:rsidRPr="00DF2453">
        <w:t xml:space="preserve"> priorities, either into an SSCP</w:t>
      </w:r>
      <w:r w:rsidR="009F4A68" w:rsidRPr="00DF2453">
        <w:t>, lead agency</w:t>
      </w:r>
      <w:r w:rsidRPr="00DF2453">
        <w:t xml:space="preserve"> or through </w:t>
      </w:r>
      <w:r w:rsidR="008E3FE8">
        <w:t xml:space="preserve">a </w:t>
      </w:r>
      <w:r w:rsidRPr="00DF2453">
        <w:t>relevant task and finish group</w:t>
      </w:r>
      <w:r w:rsidR="0058202E" w:rsidRPr="00DF2453">
        <w:t xml:space="preserve"> (or</w:t>
      </w:r>
      <w:r w:rsidR="00F13E41" w:rsidRPr="00DF2453">
        <w:t xml:space="preserve"> new partnership structure where this is </w:t>
      </w:r>
      <w:r w:rsidR="0058202E" w:rsidRPr="00DF2453">
        <w:t xml:space="preserve">agreed to be </w:t>
      </w:r>
      <w:r w:rsidR="00F13E41" w:rsidRPr="00DF2453">
        <w:t xml:space="preserve">the best </w:t>
      </w:r>
      <w:r w:rsidR="0002555C" w:rsidRPr="00DF2453">
        <w:t>approach</w:t>
      </w:r>
      <w:r w:rsidR="0058202E" w:rsidRPr="00DF2453">
        <w:t>)</w:t>
      </w:r>
    </w:p>
    <w:p w:rsidR="008F04E3" w:rsidRPr="00DF2453" w:rsidRDefault="004A6C05" w:rsidP="002933B1">
      <w:pPr>
        <w:numPr>
          <w:ilvl w:val="0"/>
          <w:numId w:val="17"/>
        </w:numPr>
      </w:pPr>
      <w:r w:rsidRPr="00DF2453">
        <w:t>Seeking to align</w:t>
      </w:r>
      <w:r w:rsidR="000F1567" w:rsidRPr="00DF2453">
        <w:t xml:space="preserve"> activity with other </w:t>
      </w:r>
      <w:r w:rsidR="00074507" w:rsidRPr="00DF2453">
        <w:t xml:space="preserve">non-SSCP </w:t>
      </w:r>
      <w:r w:rsidR="000F1567" w:rsidRPr="00DF2453">
        <w:t>partnerships across Gwent</w:t>
      </w:r>
      <w:r w:rsidR="00067B6B" w:rsidRPr="00DF2453">
        <w:t xml:space="preserve"> </w:t>
      </w:r>
      <w:proofErr w:type="gramStart"/>
      <w:r w:rsidR="00067B6B" w:rsidRPr="00DF2453">
        <w:t>in order to</w:t>
      </w:r>
      <w:proofErr w:type="gramEnd"/>
      <w:r w:rsidR="00067B6B" w:rsidRPr="00DF2453">
        <w:t xml:space="preserve"> provide a joined-up approach to the efficient use of resources and effective delivery of priorities whilst minimising the likelihood of duplication</w:t>
      </w:r>
    </w:p>
    <w:p w:rsidR="00584528" w:rsidRDefault="00467725" w:rsidP="008F04E3">
      <w:pPr>
        <w:rPr>
          <w:i/>
          <w:iCs/>
        </w:rPr>
      </w:pPr>
      <w:r w:rsidRPr="00DB6597">
        <w:rPr>
          <w:i/>
          <w:iCs/>
        </w:rPr>
        <w:t xml:space="preserve">The Board is </w:t>
      </w:r>
      <w:r w:rsidR="00754A21" w:rsidRPr="00754A21">
        <w:rPr>
          <w:b/>
          <w:bCs/>
          <w:i/>
          <w:iCs/>
          <w:u w:val="single"/>
        </w:rPr>
        <w:t>not</w:t>
      </w:r>
      <w:r w:rsidRPr="00DB6597">
        <w:rPr>
          <w:i/>
          <w:iCs/>
        </w:rPr>
        <w:t xml:space="preserve"> responsible for</w:t>
      </w:r>
      <w:r w:rsidR="00A74DCB" w:rsidRPr="00DB6597">
        <w:rPr>
          <w:i/>
          <w:iCs/>
        </w:rPr>
        <w:t xml:space="preserve"> d</w:t>
      </w:r>
      <w:r w:rsidR="00D02B88" w:rsidRPr="00DB6597">
        <w:rPr>
          <w:i/>
          <w:iCs/>
        </w:rPr>
        <w:t>ischarging</w:t>
      </w:r>
      <w:r w:rsidR="008A1490" w:rsidRPr="00DB6597">
        <w:rPr>
          <w:i/>
          <w:iCs/>
        </w:rPr>
        <w:t xml:space="preserve"> the</w:t>
      </w:r>
      <w:r w:rsidR="00A52FC3" w:rsidRPr="00DB6597">
        <w:rPr>
          <w:i/>
          <w:iCs/>
        </w:rPr>
        <w:t xml:space="preserve"> </w:t>
      </w:r>
      <w:r w:rsidR="00187607">
        <w:rPr>
          <w:i/>
          <w:iCs/>
        </w:rPr>
        <w:t xml:space="preserve">relevant </w:t>
      </w:r>
      <w:r w:rsidR="00A52FC3" w:rsidRPr="00DB6597">
        <w:rPr>
          <w:i/>
          <w:iCs/>
        </w:rPr>
        <w:t>statutory</w:t>
      </w:r>
      <w:r w:rsidR="008A1490" w:rsidRPr="00DB6597">
        <w:rPr>
          <w:i/>
          <w:iCs/>
        </w:rPr>
        <w:t xml:space="preserve"> </w:t>
      </w:r>
      <w:r w:rsidR="00880131" w:rsidRPr="00DB6597">
        <w:rPr>
          <w:i/>
          <w:iCs/>
        </w:rPr>
        <w:t xml:space="preserve">requirements </w:t>
      </w:r>
      <w:r w:rsidR="00FD3F4A">
        <w:rPr>
          <w:i/>
          <w:iCs/>
        </w:rPr>
        <w:t>and responsibi</w:t>
      </w:r>
      <w:r w:rsidR="005B6778">
        <w:rPr>
          <w:i/>
          <w:iCs/>
        </w:rPr>
        <w:t xml:space="preserve">lities </w:t>
      </w:r>
      <w:r w:rsidR="0018360D">
        <w:rPr>
          <w:i/>
          <w:iCs/>
        </w:rPr>
        <w:t>placed on</w:t>
      </w:r>
      <w:r w:rsidR="00A52FC3" w:rsidRPr="00DB6597">
        <w:rPr>
          <w:i/>
          <w:iCs/>
        </w:rPr>
        <w:t xml:space="preserve"> individual agencies and partnerships</w:t>
      </w:r>
      <w:r w:rsidR="00880131" w:rsidRPr="00DB6597">
        <w:rPr>
          <w:i/>
          <w:iCs/>
        </w:rPr>
        <w:t>, nor</w:t>
      </w:r>
      <w:r w:rsidR="009C3E67" w:rsidRPr="00DB6597">
        <w:rPr>
          <w:i/>
          <w:iCs/>
        </w:rPr>
        <w:t xml:space="preserve"> delivering their relevant commitments</w:t>
      </w:r>
      <w:r w:rsidR="00584528">
        <w:rPr>
          <w:i/>
          <w:iCs/>
        </w:rPr>
        <w:t xml:space="preserve"> and assigning resources</w:t>
      </w:r>
      <w:r w:rsidR="0073292C">
        <w:rPr>
          <w:i/>
          <w:iCs/>
        </w:rPr>
        <w:t xml:space="preserve"> </w:t>
      </w:r>
      <w:r w:rsidR="008C164D">
        <w:rPr>
          <w:i/>
          <w:iCs/>
        </w:rPr>
        <w:t>that an SSCP is responsible for managing</w:t>
      </w:r>
      <w:r w:rsidR="00880131" w:rsidRPr="00DB6597">
        <w:rPr>
          <w:i/>
          <w:iCs/>
        </w:rPr>
        <w:t>.</w:t>
      </w:r>
    </w:p>
    <w:p w:rsidR="00DB6597" w:rsidRPr="0089216C" w:rsidRDefault="00DB6597">
      <w:pPr>
        <w:rPr>
          <w:b/>
          <w:bCs/>
          <w:sz w:val="24"/>
          <w:szCs w:val="24"/>
        </w:rPr>
      </w:pPr>
      <w:r w:rsidRPr="0089216C">
        <w:rPr>
          <w:b/>
          <w:bCs/>
          <w:sz w:val="24"/>
          <w:szCs w:val="24"/>
        </w:rPr>
        <w:t>Relevant Strategic Safer Communities Partnerships</w:t>
      </w:r>
    </w:p>
    <w:p w:rsidR="00DB6597" w:rsidRPr="005A1C81" w:rsidRDefault="00DB6597">
      <w:r w:rsidRPr="005A1C81">
        <w:t xml:space="preserve">The Boards and Partnerships that will be </w:t>
      </w:r>
      <w:r w:rsidR="00B724C9" w:rsidRPr="005A1C81">
        <w:t>connected into this Board are:</w:t>
      </w:r>
    </w:p>
    <w:p w:rsidR="008244EE" w:rsidRPr="005A1C81" w:rsidRDefault="008244EE" w:rsidP="00B724C9">
      <w:pPr>
        <w:pStyle w:val="ListParagraph"/>
        <w:numPr>
          <w:ilvl w:val="0"/>
          <w:numId w:val="20"/>
        </w:numPr>
      </w:pPr>
      <w:r w:rsidRPr="005A1C81">
        <w:t>Blaenau-Gwent Community Safety Partnership</w:t>
      </w:r>
    </w:p>
    <w:p w:rsidR="005A1C81" w:rsidRPr="005A1C81" w:rsidRDefault="005A1C81" w:rsidP="005A1C81">
      <w:pPr>
        <w:pStyle w:val="ListParagraph"/>
        <w:numPr>
          <w:ilvl w:val="0"/>
          <w:numId w:val="20"/>
        </w:numPr>
      </w:pPr>
      <w:r w:rsidRPr="005A1C81">
        <w:t>Caerphilly Community Safety Partnership</w:t>
      </w:r>
    </w:p>
    <w:p w:rsidR="005A1C81" w:rsidRDefault="005A1C81" w:rsidP="005A1C81">
      <w:pPr>
        <w:pStyle w:val="ListParagraph"/>
        <w:numPr>
          <w:ilvl w:val="0"/>
          <w:numId w:val="20"/>
        </w:numPr>
      </w:pPr>
      <w:r w:rsidRPr="005A1C81">
        <w:t>Gwent Area Planning Board</w:t>
      </w:r>
    </w:p>
    <w:p w:rsidR="000C5E49" w:rsidRPr="005A1C81" w:rsidRDefault="000C5E49" w:rsidP="005A1C81">
      <w:pPr>
        <w:pStyle w:val="ListParagraph"/>
        <w:numPr>
          <w:ilvl w:val="0"/>
          <w:numId w:val="20"/>
        </w:numPr>
      </w:pPr>
      <w:r>
        <w:t>Gwent CONTEST Board</w:t>
      </w:r>
    </w:p>
    <w:p w:rsidR="005A1C81" w:rsidRDefault="005A1C81" w:rsidP="005A1C81">
      <w:pPr>
        <w:pStyle w:val="ListParagraph"/>
        <w:numPr>
          <w:ilvl w:val="0"/>
          <w:numId w:val="20"/>
        </w:numPr>
      </w:pPr>
      <w:r w:rsidRPr="005A1C81">
        <w:t>Gwent Safeguarding Board</w:t>
      </w:r>
    </w:p>
    <w:p w:rsidR="000C5E49" w:rsidRPr="005A1C81" w:rsidRDefault="000C5E49" w:rsidP="005A1C81">
      <w:pPr>
        <w:pStyle w:val="ListParagraph"/>
        <w:numPr>
          <w:ilvl w:val="0"/>
          <w:numId w:val="20"/>
        </w:numPr>
      </w:pPr>
      <w:r>
        <w:t>Gwent Serious Organised Crime Partnership Group</w:t>
      </w:r>
    </w:p>
    <w:p w:rsidR="0099733B" w:rsidRPr="0099733B" w:rsidRDefault="0099733B" w:rsidP="0099733B">
      <w:pPr>
        <w:pStyle w:val="ListParagraph"/>
        <w:numPr>
          <w:ilvl w:val="0"/>
          <w:numId w:val="20"/>
        </w:numPr>
      </w:pPr>
      <w:r w:rsidRPr="0099733B">
        <w:t>Gwent Serious Violence Duty Working Group</w:t>
      </w:r>
    </w:p>
    <w:p w:rsidR="005A1C81" w:rsidRPr="005A1C81" w:rsidRDefault="005A1C81" w:rsidP="005A1C81">
      <w:pPr>
        <w:pStyle w:val="ListParagraph"/>
        <w:numPr>
          <w:ilvl w:val="0"/>
          <w:numId w:val="20"/>
        </w:numPr>
      </w:pPr>
      <w:r w:rsidRPr="005A1C81">
        <w:t>Gwent Strategic Criminal Justice Board</w:t>
      </w:r>
    </w:p>
    <w:p w:rsidR="005A1C81" w:rsidRPr="005A1C81" w:rsidRDefault="005A1C81" w:rsidP="005A1C81">
      <w:pPr>
        <w:pStyle w:val="ListParagraph"/>
        <w:numPr>
          <w:ilvl w:val="0"/>
          <w:numId w:val="20"/>
        </w:numPr>
      </w:pPr>
      <w:r w:rsidRPr="005A1C81">
        <w:t>Gwent Violence Against Women, Domestic Abuse and Sexual Violence (VAWDASV) Board</w:t>
      </w:r>
    </w:p>
    <w:p w:rsidR="008244EE" w:rsidRPr="005A1C81" w:rsidRDefault="008244EE" w:rsidP="00B724C9">
      <w:pPr>
        <w:pStyle w:val="ListParagraph"/>
        <w:numPr>
          <w:ilvl w:val="0"/>
          <w:numId w:val="20"/>
        </w:numPr>
      </w:pPr>
      <w:r w:rsidRPr="005A1C81">
        <w:t>Monmouthshire Community Safety Partnership</w:t>
      </w:r>
    </w:p>
    <w:p w:rsidR="005A1C81" w:rsidRPr="005A1C81" w:rsidRDefault="005A1C81" w:rsidP="005A1C81">
      <w:pPr>
        <w:pStyle w:val="ListParagraph"/>
        <w:numPr>
          <w:ilvl w:val="0"/>
          <w:numId w:val="20"/>
        </w:numPr>
      </w:pPr>
      <w:r w:rsidRPr="005A1C81">
        <w:t>Newport Community Safety Partnership</w:t>
      </w:r>
    </w:p>
    <w:p w:rsidR="008244EE" w:rsidRDefault="008244EE" w:rsidP="00B724C9">
      <w:pPr>
        <w:pStyle w:val="ListParagraph"/>
        <w:numPr>
          <w:ilvl w:val="0"/>
          <w:numId w:val="20"/>
        </w:numPr>
      </w:pPr>
      <w:r w:rsidRPr="005A1C81">
        <w:t>Torfaen Community Safety Partnership</w:t>
      </w:r>
    </w:p>
    <w:p w:rsidR="00C77633" w:rsidRPr="005A1C81" w:rsidRDefault="00B05C32" w:rsidP="00C77633">
      <w:r>
        <w:t xml:space="preserve">This list will be subject to review. </w:t>
      </w:r>
      <w:r w:rsidR="00C77633">
        <w:t xml:space="preserve">  </w:t>
      </w:r>
    </w:p>
    <w:p w:rsidR="005C5AB0" w:rsidRPr="0089216C" w:rsidRDefault="005C5AB0" w:rsidP="005C5AB0">
      <w:pPr>
        <w:rPr>
          <w:b/>
          <w:bCs/>
          <w:sz w:val="24"/>
          <w:szCs w:val="24"/>
        </w:rPr>
      </w:pPr>
      <w:r w:rsidRPr="0089216C">
        <w:rPr>
          <w:b/>
          <w:bCs/>
          <w:sz w:val="24"/>
          <w:szCs w:val="24"/>
        </w:rPr>
        <w:t xml:space="preserve">Strategic Priorities </w:t>
      </w:r>
    </w:p>
    <w:p w:rsidR="005C5AB0" w:rsidRDefault="005C5AB0" w:rsidP="005C5AB0">
      <w:r>
        <w:t xml:space="preserve">The strategic priorities of the Board </w:t>
      </w:r>
      <w:r w:rsidR="00F34EAC">
        <w:t xml:space="preserve">will be agreed </w:t>
      </w:r>
      <w:r w:rsidR="00FE7E8E">
        <w:t>annually,</w:t>
      </w:r>
      <w:r w:rsidR="00F34EAC">
        <w:t xml:space="preserve"> and </w:t>
      </w:r>
      <w:r w:rsidR="008673A0">
        <w:t xml:space="preserve">the </w:t>
      </w:r>
      <w:r w:rsidR="00F34EAC">
        <w:t xml:space="preserve">relevant </w:t>
      </w:r>
      <w:r w:rsidR="008673A0">
        <w:t>work plan will be published</w:t>
      </w:r>
      <w:r w:rsidR="00DE79D1">
        <w:t xml:space="preserve">. </w:t>
      </w:r>
      <w:r w:rsidR="00FE7E8E">
        <w:t xml:space="preserve">The priorities will identify those </w:t>
      </w:r>
      <w:r w:rsidR="00341D4F">
        <w:t xml:space="preserve">specific issues the Board will seek to resolve and relevant </w:t>
      </w:r>
      <w:proofErr w:type="gramStart"/>
      <w:r w:rsidR="00341D4F">
        <w:t>long term</w:t>
      </w:r>
      <w:proofErr w:type="gramEnd"/>
      <w:r w:rsidR="00341D4F">
        <w:t xml:space="preserve"> objectives </w:t>
      </w:r>
      <w:r w:rsidR="004A5454">
        <w:t>it seeks to address.</w:t>
      </w:r>
    </w:p>
    <w:p w:rsidR="004378C7" w:rsidRPr="0089216C" w:rsidRDefault="0089216C" w:rsidP="00346447">
      <w:pPr>
        <w:rPr>
          <w:color w:val="FF0000"/>
          <w:sz w:val="24"/>
          <w:szCs w:val="24"/>
        </w:rPr>
      </w:pPr>
      <w:r>
        <w:rPr>
          <w:b/>
          <w:bCs/>
          <w:sz w:val="24"/>
          <w:szCs w:val="24"/>
        </w:rPr>
        <w:t xml:space="preserve">Board </w:t>
      </w:r>
      <w:r w:rsidR="00AD56EC" w:rsidRPr="0089216C">
        <w:rPr>
          <w:b/>
          <w:bCs/>
          <w:sz w:val="24"/>
          <w:szCs w:val="24"/>
        </w:rPr>
        <w:t xml:space="preserve">Approach </w:t>
      </w:r>
    </w:p>
    <w:p w:rsidR="00A24173" w:rsidRDefault="00F64F50">
      <w:r>
        <w:t xml:space="preserve">This Board </w:t>
      </w:r>
      <w:r w:rsidR="00113003">
        <w:t>has no</w:t>
      </w:r>
      <w:r w:rsidR="00B94A28">
        <w:t xml:space="preserve"> direct</w:t>
      </w:r>
      <w:r w:rsidR="00113003">
        <w:t xml:space="preserve"> statutory remit over the SSCPs connected to </w:t>
      </w:r>
      <w:r w:rsidR="0020268C">
        <w:t>it</w:t>
      </w:r>
      <w:r w:rsidR="00A319C1">
        <w:t xml:space="preserve"> other than through the attending members</w:t>
      </w:r>
      <w:r w:rsidR="00B94A28">
        <w:t>. As such, i</w:t>
      </w:r>
      <w:r w:rsidR="00656D9A">
        <w:t xml:space="preserve">n the spirit of strong collaboration and partnership working, </w:t>
      </w:r>
      <w:r>
        <w:t xml:space="preserve">it’s important to emphasise </w:t>
      </w:r>
      <w:r w:rsidR="00B94A28">
        <w:t>the</w:t>
      </w:r>
      <w:r w:rsidR="00CF066A">
        <w:t xml:space="preserve"> expectations and</w:t>
      </w:r>
      <w:r w:rsidR="00B94A28">
        <w:t xml:space="preserve"> </w:t>
      </w:r>
      <w:r w:rsidR="00C208CF">
        <w:t xml:space="preserve">approaches </w:t>
      </w:r>
      <w:r w:rsidR="00CF066A">
        <w:t xml:space="preserve">that </w:t>
      </w:r>
      <w:r w:rsidR="00C208CF">
        <w:t xml:space="preserve">will be </w:t>
      </w:r>
      <w:r w:rsidR="006B2E05">
        <w:t>adhered to by the Board</w:t>
      </w:r>
      <w:r w:rsidR="002D2F49">
        <w:t xml:space="preserve"> </w:t>
      </w:r>
      <w:r w:rsidR="00CF066A">
        <w:t>and its members</w:t>
      </w:r>
      <w:r w:rsidR="00162997">
        <w:t xml:space="preserve">. </w:t>
      </w:r>
    </w:p>
    <w:p w:rsidR="0079013F" w:rsidRDefault="00162997">
      <w:proofErr w:type="gramStart"/>
      <w:r>
        <w:t>The</w:t>
      </w:r>
      <w:r w:rsidR="00342309">
        <w:t>refore</w:t>
      </w:r>
      <w:proofErr w:type="gramEnd"/>
      <w:r w:rsidR="00342309">
        <w:t xml:space="preserve"> the</w:t>
      </w:r>
      <w:r>
        <w:t xml:space="preserve"> Board will:</w:t>
      </w:r>
    </w:p>
    <w:p w:rsidR="0004393F" w:rsidRDefault="0004393F" w:rsidP="0004393F">
      <w:pPr>
        <w:pStyle w:val="ListParagraph"/>
        <w:numPr>
          <w:ilvl w:val="0"/>
          <w:numId w:val="22"/>
        </w:numPr>
      </w:pPr>
      <w:r>
        <w:t>Act as a strategic decision making and direction body, which is not expected to carry an ongoing workload beyond specific task and finish activity</w:t>
      </w:r>
      <w:r w:rsidR="00B96767">
        <w:t xml:space="preserve"> and </w:t>
      </w:r>
      <w:r w:rsidR="00B96767">
        <w:rPr>
          <w:b/>
          <w:bCs/>
          <w:i/>
          <w:iCs/>
        </w:rPr>
        <w:t>will not create</w:t>
      </w:r>
      <w:r w:rsidR="00B96767" w:rsidRPr="00B96767">
        <w:rPr>
          <w:b/>
          <w:bCs/>
          <w:i/>
          <w:iCs/>
        </w:rPr>
        <w:t xml:space="preserve"> additional workload for relevant SSCPs</w:t>
      </w:r>
      <w:r w:rsidR="00976094">
        <w:rPr>
          <w:b/>
          <w:bCs/>
          <w:i/>
          <w:iCs/>
        </w:rPr>
        <w:t xml:space="preserve"> unless </w:t>
      </w:r>
      <w:proofErr w:type="gramStart"/>
      <w:r w:rsidR="00976094">
        <w:rPr>
          <w:b/>
          <w:bCs/>
          <w:i/>
          <w:iCs/>
        </w:rPr>
        <w:t>absolutely necessary</w:t>
      </w:r>
      <w:proofErr w:type="gramEnd"/>
      <w:r w:rsidR="00976094">
        <w:rPr>
          <w:b/>
          <w:bCs/>
          <w:i/>
          <w:iCs/>
        </w:rPr>
        <w:t xml:space="preserve"> and agreed with them</w:t>
      </w:r>
    </w:p>
    <w:p w:rsidR="0004393F" w:rsidRDefault="0004393F" w:rsidP="00232388">
      <w:pPr>
        <w:pStyle w:val="ListParagraph"/>
        <w:numPr>
          <w:ilvl w:val="0"/>
          <w:numId w:val="22"/>
        </w:numPr>
      </w:pPr>
      <w:r>
        <w:t xml:space="preserve">Provide overall oversight of SSCPs on behalf of the Public Services Board </w:t>
      </w:r>
      <w:r w:rsidR="00232388">
        <w:t>and r</w:t>
      </w:r>
      <w:r>
        <w:t xml:space="preserve">eport to the </w:t>
      </w:r>
      <w:r w:rsidR="00232388">
        <w:t>PSB</w:t>
      </w:r>
      <w:r>
        <w:t xml:space="preserve"> for assurance purposes</w:t>
      </w:r>
    </w:p>
    <w:p w:rsidR="0004393F" w:rsidRDefault="0004393F" w:rsidP="0004393F">
      <w:pPr>
        <w:pStyle w:val="ListParagraph"/>
        <w:numPr>
          <w:ilvl w:val="0"/>
          <w:numId w:val="22"/>
        </w:numPr>
      </w:pPr>
      <w:r>
        <w:t xml:space="preserve">Provide SSCPs with the requirements needed to report into the Board and escalate issues </w:t>
      </w:r>
    </w:p>
    <w:p w:rsidR="00342309" w:rsidRPr="00A24173" w:rsidRDefault="00342309" w:rsidP="00342309">
      <w:pPr>
        <w:pStyle w:val="ListParagraph"/>
        <w:numPr>
          <w:ilvl w:val="0"/>
          <w:numId w:val="22"/>
        </w:numPr>
        <w:rPr>
          <w:b/>
          <w:bCs/>
        </w:rPr>
      </w:pPr>
      <w:r>
        <w:t>Approach decision making</w:t>
      </w:r>
      <w:r w:rsidR="00841BC4">
        <w:t>, funding and resource allocation</w:t>
      </w:r>
      <w:r>
        <w:t xml:space="preserve"> in the spirit of strong collaboration and partnership working </w:t>
      </w:r>
    </w:p>
    <w:p w:rsidR="00342309" w:rsidRDefault="00342309" w:rsidP="00342309">
      <w:pPr>
        <w:pStyle w:val="ListParagraph"/>
        <w:numPr>
          <w:ilvl w:val="0"/>
          <w:numId w:val="22"/>
        </w:numPr>
      </w:pPr>
      <w:r>
        <w:t>Recognise that each SSCP has its own separate governance pressures</w:t>
      </w:r>
      <w:r w:rsidR="00F66AA9">
        <w:t>, work programmes</w:t>
      </w:r>
      <w:r w:rsidR="001271DD">
        <w:t xml:space="preserve">, resource commitments </w:t>
      </w:r>
      <w:r>
        <w:t>and</w:t>
      </w:r>
      <w:r w:rsidR="001271DD">
        <w:t xml:space="preserve"> other</w:t>
      </w:r>
      <w:r>
        <w:t xml:space="preserve"> requirements from Welsh and/or UK priorities</w:t>
      </w:r>
    </w:p>
    <w:p w:rsidR="008E6BE4" w:rsidRPr="0079013F" w:rsidRDefault="008E6BE4" w:rsidP="00342309">
      <w:pPr>
        <w:pStyle w:val="ListParagraph"/>
        <w:numPr>
          <w:ilvl w:val="0"/>
          <w:numId w:val="22"/>
        </w:numPr>
      </w:pPr>
      <w:r>
        <w:t xml:space="preserve">Not interfere or intervene with any SSCP activity unless either </w:t>
      </w:r>
      <w:r w:rsidR="00F66AA9">
        <w:t>necessary</w:t>
      </w:r>
      <w:r>
        <w:t xml:space="preserve"> or when requested</w:t>
      </w:r>
      <w:r w:rsidR="00841BC4">
        <w:t xml:space="preserve"> by members</w:t>
      </w:r>
      <w:r w:rsidR="00FF4D71">
        <w:t xml:space="preserve"> - with a philosophy of adding value to existing partnership arrangements</w:t>
      </w:r>
    </w:p>
    <w:p w:rsidR="00342309" w:rsidRDefault="0066375D" w:rsidP="0032753D">
      <w:pPr>
        <w:pStyle w:val="ListParagraph"/>
        <w:numPr>
          <w:ilvl w:val="0"/>
          <w:numId w:val="22"/>
        </w:numPr>
      </w:pPr>
      <w:r>
        <w:t>E</w:t>
      </w:r>
      <w:r w:rsidR="00B96896">
        <w:t>xpect</w:t>
      </w:r>
      <w:r>
        <w:t xml:space="preserve"> open </w:t>
      </w:r>
      <w:r w:rsidR="00B96896">
        <w:t xml:space="preserve">and constructive </w:t>
      </w:r>
      <w:r w:rsidR="00F66AA9">
        <w:t xml:space="preserve">engagement and </w:t>
      </w:r>
      <w:r w:rsidR="00DE40AC">
        <w:t>communication</w:t>
      </w:r>
      <w:r w:rsidR="00EE1BCB">
        <w:t xml:space="preserve"> from all members</w:t>
      </w:r>
    </w:p>
    <w:p w:rsidR="00B96896" w:rsidRDefault="00B96896" w:rsidP="0032753D">
      <w:pPr>
        <w:pStyle w:val="ListParagraph"/>
        <w:numPr>
          <w:ilvl w:val="0"/>
          <w:numId w:val="22"/>
        </w:numPr>
      </w:pPr>
      <w:r>
        <w:t>Expect all partners and partnerships to have responsibility to hold each other to account</w:t>
      </w:r>
      <w:r w:rsidR="00DE40AC">
        <w:t xml:space="preserve"> in a constructive manner</w:t>
      </w:r>
    </w:p>
    <w:p w:rsidR="00A344D6" w:rsidRPr="0089216C" w:rsidRDefault="00A344D6">
      <w:pPr>
        <w:rPr>
          <w:b/>
          <w:bCs/>
          <w:sz w:val="24"/>
          <w:szCs w:val="24"/>
        </w:rPr>
      </w:pPr>
      <w:r w:rsidRPr="0089216C">
        <w:rPr>
          <w:b/>
          <w:bCs/>
          <w:sz w:val="24"/>
          <w:szCs w:val="24"/>
        </w:rPr>
        <w:t>Membership</w:t>
      </w:r>
    </w:p>
    <w:p w:rsidR="00761CC7" w:rsidRDefault="00E200EB" w:rsidP="00E200EB">
      <w:r w:rsidRPr="00E200EB">
        <w:t xml:space="preserve">Engaging partners at the appropriate level is crucial </w:t>
      </w:r>
      <w:r w:rsidR="00594815">
        <w:t>to discharge the responsibilities of the Board effectively</w:t>
      </w:r>
      <w:r w:rsidR="00761CC7">
        <w:t>.</w:t>
      </w:r>
      <w:r w:rsidR="0090410A">
        <w:t xml:space="preserve"> Therefore, as a minimum, the Chairs of relevant SSCPs are required to attend, along with other key </w:t>
      </w:r>
      <w:r w:rsidR="00196FC0">
        <w:t xml:space="preserve">strategic </w:t>
      </w:r>
      <w:r w:rsidR="0090410A">
        <w:t xml:space="preserve">stakeholders at a minimum </w:t>
      </w:r>
      <w:r w:rsidR="004B6E53">
        <w:t xml:space="preserve">of </w:t>
      </w:r>
      <w:r w:rsidR="0090410A">
        <w:t>Director level</w:t>
      </w:r>
      <w:r w:rsidR="004B6E53">
        <w:t xml:space="preserve"> within organisations</w:t>
      </w:r>
      <w:r w:rsidR="008C63C7">
        <w:t>.</w:t>
      </w:r>
      <w:r w:rsidR="00851C75">
        <w:t xml:space="preserve"> </w:t>
      </w:r>
    </w:p>
    <w:p w:rsidR="00764E94" w:rsidRDefault="00851C75" w:rsidP="00E200EB">
      <w:r>
        <w:t>This</w:t>
      </w:r>
      <w:r w:rsidR="008C63C7">
        <w:t xml:space="preserve"> level of seniority is required</w:t>
      </w:r>
      <w:r>
        <w:t xml:space="preserve"> to </w:t>
      </w:r>
      <w:r w:rsidR="00E200EB" w:rsidRPr="00E200EB">
        <w:t>ensur</w:t>
      </w:r>
      <w:r>
        <w:t xml:space="preserve">e </w:t>
      </w:r>
      <w:r w:rsidR="009779B1">
        <w:t>an appropriate</w:t>
      </w:r>
      <w:r w:rsidR="003621FD">
        <w:t xml:space="preserve"> level of accountability exists</w:t>
      </w:r>
      <w:r w:rsidR="00651B52">
        <w:t xml:space="preserve"> for the Board</w:t>
      </w:r>
      <w:r w:rsidR="00902B12">
        <w:t>,</w:t>
      </w:r>
      <w:r w:rsidR="00076CFE">
        <w:t xml:space="preserve"> that</w:t>
      </w:r>
      <w:r w:rsidR="003621FD">
        <w:t xml:space="preserve"> </w:t>
      </w:r>
      <w:r w:rsidR="00E200EB" w:rsidRPr="00E200EB">
        <w:t xml:space="preserve">actions </w:t>
      </w:r>
      <w:r w:rsidR="009A42C9">
        <w:t>can be delivered, resource potential unlocked,</w:t>
      </w:r>
      <w:r w:rsidR="0065617B">
        <w:t xml:space="preserve"> </w:t>
      </w:r>
      <w:r w:rsidR="008C63C7">
        <w:t xml:space="preserve">strategic </w:t>
      </w:r>
      <w:r w:rsidR="0065617B">
        <w:t>insights provided, and direction</w:t>
      </w:r>
      <w:r w:rsidR="00E200EB" w:rsidRPr="00E200EB">
        <w:t xml:space="preserve"> </w:t>
      </w:r>
      <w:r w:rsidR="00797452">
        <w:t>taken</w:t>
      </w:r>
      <w:r w:rsidR="008F31BE">
        <w:t xml:space="preserve"> </w:t>
      </w:r>
      <w:r w:rsidR="00797452">
        <w:t>in</w:t>
      </w:r>
      <w:r w:rsidR="002D3746">
        <w:t>to</w:t>
      </w:r>
      <w:r w:rsidR="008F31BE">
        <w:t xml:space="preserve"> </w:t>
      </w:r>
      <w:r w:rsidR="003D6007">
        <w:t>partner organisations</w:t>
      </w:r>
      <w:r w:rsidR="008F31BE">
        <w:t xml:space="preserve"> and </w:t>
      </w:r>
      <w:r w:rsidR="003D6007">
        <w:t>SSCPs</w:t>
      </w:r>
      <w:r w:rsidR="008F31BE">
        <w:t xml:space="preserve">. </w:t>
      </w:r>
    </w:p>
    <w:p w:rsidR="00073544" w:rsidRDefault="00C200ED" w:rsidP="00E200EB">
      <w:r>
        <w:t>The</w:t>
      </w:r>
      <w:r w:rsidR="00E200EB" w:rsidRPr="00E200EB">
        <w:t xml:space="preserve"> list of partners </w:t>
      </w:r>
      <w:r>
        <w:t>required to attend are</w:t>
      </w:r>
      <w:r w:rsidR="00E200EB" w:rsidRPr="00E200EB">
        <w:t>:</w:t>
      </w:r>
    </w:p>
    <w:p w:rsidR="007D3B17" w:rsidRDefault="00C200ED" w:rsidP="0032753D">
      <w:pPr>
        <w:pStyle w:val="ListParagraph"/>
        <w:numPr>
          <w:ilvl w:val="0"/>
          <w:numId w:val="21"/>
        </w:numPr>
      </w:pPr>
      <w:r>
        <w:t>Gwent Police and Crime Commissioner</w:t>
      </w:r>
    </w:p>
    <w:p w:rsidR="00B1769C" w:rsidRDefault="007B5EF7" w:rsidP="0032753D">
      <w:pPr>
        <w:pStyle w:val="ListParagraph"/>
        <w:numPr>
          <w:ilvl w:val="0"/>
          <w:numId w:val="21"/>
        </w:numPr>
      </w:pPr>
      <w:r>
        <w:t xml:space="preserve">Assistant </w:t>
      </w:r>
      <w:r w:rsidR="007D3B17">
        <w:t>Chief Constable</w:t>
      </w:r>
      <w:r w:rsidR="00B469D8">
        <w:t>, Gwent Police</w:t>
      </w:r>
    </w:p>
    <w:p w:rsidR="00D6528B" w:rsidRDefault="00B1769C" w:rsidP="0032753D">
      <w:pPr>
        <w:pStyle w:val="ListParagraph"/>
        <w:numPr>
          <w:ilvl w:val="0"/>
          <w:numId w:val="21"/>
        </w:numPr>
      </w:pPr>
      <w:r>
        <w:t>Executive Director of Public Health</w:t>
      </w:r>
      <w:r w:rsidR="00B469D8">
        <w:t>, ABUHB</w:t>
      </w:r>
    </w:p>
    <w:p w:rsidR="001842C4" w:rsidRDefault="00DB2667" w:rsidP="0032753D">
      <w:pPr>
        <w:pStyle w:val="ListParagraph"/>
        <w:numPr>
          <w:ilvl w:val="0"/>
          <w:numId w:val="21"/>
        </w:numPr>
      </w:pPr>
      <w:r>
        <w:t xml:space="preserve">Five </w:t>
      </w:r>
      <w:r w:rsidR="00D6528B">
        <w:t>Local Authority Director</w:t>
      </w:r>
      <w:r w:rsidR="00DF5730">
        <w:t xml:space="preserve"> Level </w:t>
      </w:r>
      <w:r w:rsidR="00C64674">
        <w:t>Representative</w:t>
      </w:r>
      <w:r>
        <w:t>s</w:t>
      </w:r>
      <w:r w:rsidR="00C200ED">
        <w:t xml:space="preserve"> </w:t>
      </w:r>
      <w:r w:rsidR="00DF5730">
        <w:t>(e.g. Dir of Education and/or Social Services)</w:t>
      </w:r>
    </w:p>
    <w:p w:rsidR="00995957" w:rsidRDefault="00995957" w:rsidP="0032753D">
      <w:pPr>
        <w:pStyle w:val="ListParagraph"/>
        <w:numPr>
          <w:ilvl w:val="0"/>
          <w:numId w:val="21"/>
        </w:numPr>
      </w:pPr>
      <w:r>
        <w:t>Assistant Chief Fire Officer, South Wales Fire and Rescue Service</w:t>
      </w:r>
    </w:p>
    <w:p w:rsidR="005A45E8" w:rsidRDefault="005A45E8" w:rsidP="0032753D">
      <w:pPr>
        <w:pStyle w:val="ListParagraph"/>
        <w:numPr>
          <w:ilvl w:val="0"/>
          <w:numId w:val="21"/>
        </w:numPr>
      </w:pPr>
      <w:r>
        <w:t>Head of HMPPS Probation Delivery Unit for Gwent</w:t>
      </w:r>
    </w:p>
    <w:p w:rsidR="00455849" w:rsidRDefault="00455849" w:rsidP="0032753D">
      <w:pPr>
        <w:pStyle w:val="ListParagraph"/>
        <w:numPr>
          <w:ilvl w:val="0"/>
          <w:numId w:val="21"/>
        </w:numPr>
      </w:pPr>
      <w:r>
        <w:t>Chief Executive of Gwent Association of Vo</w:t>
      </w:r>
      <w:r w:rsidR="00DB624C">
        <w:t>lu</w:t>
      </w:r>
      <w:r>
        <w:t>ntary Organis</w:t>
      </w:r>
      <w:r w:rsidR="00DB624C">
        <w:t>ations</w:t>
      </w:r>
    </w:p>
    <w:p w:rsidR="007D3B17" w:rsidRDefault="00C200ED" w:rsidP="0032753D">
      <w:pPr>
        <w:pStyle w:val="ListParagraph"/>
        <w:numPr>
          <w:ilvl w:val="0"/>
          <w:numId w:val="21"/>
        </w:numPr>
      </w:pPr>
      <w:r>
        <w:t>Chairs of</w:t>
      </w:r>
      <w:r w:rsidR="007D3B17">
        <w:t>:</w:t>
      </w:r>
    </w:p>
    <w:p w:rsidR="003F6495" w:rsidRPr="005A1C81" w:rsidRDefault="003F6495" w:rsidP="003F6495">
      <w:pPr>
        <w:pStyle w:val="ListParagraph"/>
        <w:numPr>
          <w:ilvl w:val="1"/>
          <w:numId w:val="21"/>
        </w:numPr>
      </w:pPr>
      <w:r>
        <w:t>Five Community Safety Partnerships</w:t>
      </w:r>
    </w:p>
    <w:p w:rsidR="003F6495" w:rsidRDefault="003F6495" w:rsidP="003F6495">
      <w:pPr>
        <w:pStyle w:val="ListParagraph"/>
        <w:numPr>
          <w:ilvl w:val="1"/>
          <w:numId w:val="21"/>
        </w:numPr>
      </w:pPr>
      <w:r w:rsidRPr="005A1C81">
        <w:t>Gwent Area Planning Board</w:t>
      </w:r>
    </w:p>
    <w:p w:rsidR="003F6495" w:rsidRPr="005A1C81" w:rsidRDefault="003F6495" w:rsidP="003F6495">
      <w:pPr>
        <w:pStyle w:val="ListParagraph"/>
        <w:numPr>
          <w:ilvl w:val="1"/>
          <w:numId w:val="21"/>
        </w:numPr>
      </w:pPr>
      <w:r>
        <w:t>Gwent CONTEST Board</w:t>
      </w:r>
    </w:p>
    <w:p w:rsidR="003F6495" w:rsidRDefault="003F6495" w:rsidP="003F6495">
      <w:pPr>
        <w:pStyle w:val="ListParagraph"/>
        <w:numPr>
          <w:ilvl w:val="1"/>
          <w:numId w:val="21"/>
        </w:numPr>
      </w:pPr>
      <w:r w:rsidRPr="005A1C81">
        <w:t>Gwent Safeguarding Board</w:t>
      </w:r>
    </w:p>
    <w:p w:rsidR="003F6495" w:rsidRPr="005A1C81" w:rsidRDefault="003F6495" w:rsidP="003F6495">
      <w:pPr>
        <w:pStyle w:val="ListParagraph"/>
        <w:numPr>
          <w:ilvl w:val="1"/>
          <w:numId w:val="21"/>
        </w:numPr>
      </w:pPr>
      <w:r>
        <w:t>Gwent Serious Organised Crime Partnership Group</w:t>
      </w:r>
    </w:p>
    <w:p w:rsidR="003F6495" w:rsidRPr="005A1C81" w:rsidRDefault="003F6495" w:rsidP="003F6495">
      <w:pPr>
        <w:pStyle w:val="ListParagraph"/>
        <w:numPr>
          <w:ilvl w:val="1"/>
          <w:numId w:val="21"/>
        </w:numPr>
      </w:pPr>
      <w:r w:rsidRPr="005A1C81">
        <w:t>Gwent Strategic Criminal Justice Board</w:t>
      </w:r>
    </w:p>
    <w:p w:rsidR="003F6495" w:rsidRPr="005A1C81" w:rsidRDefault="003F6495" w:rsidP="003F6495">
      <w:pPr>
        <w:pStyle w:val="ListParagraph"/>
        <w:numPr>
          <w:ilvl w:val="1"/>
          <w:numId w:val="21"/>
        </w:numPr>
      </w:pPr>
      <w:r w:rsidRPr="005A1C81">
        <w:t>Gwent VAWDASV Board</w:t>
      </w:r>
    </w:p>
    <w:p w:rsidR="00C67F67" w:rsidRDefault="003A1CF4" w:rsidP="00115F50">
      <w:r>
        <w:t>W</w:t>
      </w:r>
      <w:r w:rsidR="00C64674">
        <w:t>here</w:t>
      </w:r>
      <w:r w:rsidR="00EB5B62">
        <w:t xml:space="preserve"> a</w:t>
      </w:r>
      <w:r w:rsidR="00543F2E">
        <w:t xml:space="preserve"> member is </w:t>
      </w:r>
      <w:r w:rsidR="00D56DEC">
        <w:t xml:space="preserve">also </w:t>
      </w:r>
      <w:r w:rsidR="00543F2E">
        <w:t xml:space="preserve">the </w:t>
      </w:r>
      <w:r>
        <w:t xml:space="preserve">Chair </w:t>
      </w:r>
      <w:r w:rsidR="00D56DEC">
        <w:t>of another</w:t>
      </w:r>
      <w:r>
        <w:t xml:space="preserve"> SSCP </w:t>
      </w:r>
      <w:r w:rsidR="00C95829">
        <w:t>and/or other</w:t>
      </w:r>
      <w:r>
        <w:t xml:space="preserve"> </w:t>
      </w:r>
      <w:r w:rsidR="00115F50">
        <w:t xml:space="preserve">listed </w:t>
      </w:r>
      <w:r>
        <w:t>member</w:t>
      </w:r>
      <w:r w:rsidR="00115F50">
        <w:t>, the</w:t>
      </w:r>
      <w:r w:rsidR="008538AB">
        <w:t xml:space="preserve">y can represent </w:t>
      </w:r>
      <w:r w:rsidR="002D09FF">
        <w:t>multiple</w:t>
      </w:r>
      <w:r w:rsidR="008538AB">
        <w:t xml:space="preserve"> interests</w:t>
      </w:r>
      <w:r w:rsidR="002D09FF">
        <w:t xml:space="preserve"> without needing </w:t>
      </w:r>
      <w:r w:rsidR="000617F6">
        <w:t>additional attendees</w:t>
      </w:r>
      <w:r w:rsidR="008538AB">
        <w:t>.</w:t>
      </w:r>
    </w:p>
    <w:p w:rsidR="00C64674" w:rsidRDefault="00CA3F4E" w:rsidP="00115F50">
      <w:r>
        <w:t>Attendance can only be delegated</w:t>
      </w:r>
      <w:r w:rsidR="00024117">
        <w:t xml:space="preserve"> to a deputy</w:t>
      </w:r>
      <w:r>
        <w:t xml:space="preserve"> in exceptional circumstances an</w:t>
      </w:r>
      <w:r w:rsidR="00717EC5">
        <w:t xml:space="preserve">d when agreed by the Chair. Should a </w:t>
      </w:r>
      <w:r w:rsidR="005B3E0B">
        <w:t>deputy</w:t>
      </w:r>
      <w:r w:rsidR="00717EC5">
        <w:t xml:space="preserve"> </w:t>
      </w:r>
      <w:r w:rsidR="00CF17C6">
        <w:t xml:space="preserve">be in attendance, they must </w:t>
      </w:r>
      <w:r w:rsidR="004F0A3F">
        <w:t>come with</w:t>
      </w:r>
      <w:r w:rsidR="00CF17C6">
        <w:t xml:space="preserve"> the delegated </w:t>
      </w:r>
      <w:r w:rsidR="001F2FA2">
        <w:t>decision-making</w:t>
      </w:r>
      <w:r w:rsidR="00CF17C6">
        <w:t xml:space="preserve"> authority</w:t>
      </w:r>
      <w:r w:rsidR="004F0A3F">
        <w:t xml:space="preserve"> </w:t>
      </w:r>
      <w:r w:rsidR="00530C8E">
        <w:t>of th</w:t>
      </w:r>
      <w:r w:rsidR="001F2FA2">
        <w:t>e member</w:t>
      </w:r>
      <w:r w:rsidR="00530C8E">
        <w:t xml:space="preserve"> they are representing. </w:t>
      </w:r>
      <w:r w:rsidR="00CF17C6">
        <w:t xml:space="preserve"> </w:t>
      </w:r>
      <w:r w:rsidR="008538AB">
        <w:t xml:space="preserve"> </w:t>
      </w:r>
      <w:r w:rsidR="003A1CF4">
        <w:t xml:space="preserve"> </w:t>
      </w:r>
      <w:r w:rsidR="00C64674">
        <w:t xml:space="preserve"> </w:t>
      </w:r>
    </w:p>
    <w:p w:rsidR="00343A3C" w:rsidRDefault="00343A3C" w:rsidP="008F31BE">
      <w:r>
        <w:t>Invites may be extended to other interested parties, for example:</w:t>
      </w:r>
    </w:p>
    <w:p w:rsidR="002D2E7A" w:rsidRDefault="00730885" w:rsidP="00730885">
      <w:pPr>
        <w:pStyle w:val="ListParagraph"/>
        <w:numPr>
          <w:ilvl w:val="0"/>
          <w:numId w:val="23"/>
        </w:numPr>
      </w:pPr>
      <w:r>
        <w:t>Welsh Government Ministers or officials</w:t>
      </w:r>
    </w:p>
    <w:p w:rsidR="00730885" w:rsidRDefault="00730885" w:rsidP="00730885">
      <w:pPr>
        <w:pStyle w:val="ListParagraph"/>
        <w:numPr>
          <w:ilvl w:val="0"/>
          <w:numId w:val="23"/>
        </w:numPr>
      </w:pPr>
      <w:r>
        <w:t>UK Government Ministers or officials</w:t>
      </w:r>
    </w:p>
    <w:p w:rsidR="00730885" w:rsidRDefault="00542098" w:rsidP="00730885">
      <w:pPr>
        <w:pStyle w:val="ListParagraph"/>
        <w:numPr>
          <w:ilvl w:val="0"/>
          <w:numId w:val="23"/>
        </w:numPr>
      </w:pPr>
      <w:r>
        <w:t xml:space="preserve">Chair </w:t>
      </w:r>
      <w:r w:rsidR="00A85A90">
        <w:t xml:space="preserve">and/or Head </w:t>
      </w:r>
      <w:r>
        <w:t>of the Wales Safer Communities Board</w:t>
      </w:r>
      <w:r w:rsidR="00041A27">
        <w:t xml:space="preserve"> and Network</w:t>
      </w:r>
    </w:p>
    <w:p w:rsidR="00542098" w:rsidRDefault="00542098" w:rsidP="00730885">
      <w:pPr>
        <w:pStyle w:val="ListParagraph"/>
        <w:numPr>
          <w:ilvl w:val="0"/>
          <w:numId w:val="23"/>
        </w:numPr>
      </w:pPr>
      <w:r>
        <w:t xml:space="preserve">Director of the </w:t>
      </w:r>
      <w:r w:rsidR="002C5488">
        <w:t xml:space="preserve">Wales </w:t>
      </w:r>
      <w:r>
        <w:t>Violence Prevention Unit</w:t>
      </w:r>
    </w:p>
    <w:p w:rsidR="00F53F6B" w:rsidRDefault="00F53F6B" w:rsidP="00730885">
      <w:pPr>
        <w:pStyle w:val="ListParagraph"/>
        <w:numPr>
          <w:ilvl w:val="0"/>
          <w:numId w:val="23"/>
        </w:numPr>
      </w:pPr>
      <w:r>
        <w:t>Third sector representatives</w:t>
      </w:r>
    </w:p>
    <w:p w:rsidR="00F53F6B" w:rsidRDefault="00F53F6B" w:rsidP="00730885">
      <w:pPr>
        <w:pStyle w:val="ListParagraph"/>
        <w:numPr>
          <w:ilvl w:val="0"/>
          <w:numId w:val="23"/>
        </w:numPr>
      </w:pPr>
      <w:r>
        <w:t>Guest speakers, project and programme delivery leads</w:t>
      </w:r>
    </w:p>
    <w:p w:rsidR="0076431C" w:rsidRDefault="0076431C" w:rsidP="0076431C">
      <w:r>
        <w:t xml:space="preserve">These invites will be extended for specific purposes and will be ad hoc. </w:t>
      </w:r>
    </w:p>
    <w:p w:rsidR="002570DD" w:rsidRPr="002570DD" w:rsidRDefault="002570DD" w:rsidP="0076431C">
      <w:pPr>
        <w:rPr>
          <w:b/>
          <w:bCs/>
        </w:rPr>
      </w:pPr>
      <w:r w:rsidRPr="0089216C">
        <w:rPr>
          <w:b/>
          <w:bCs/>
          <w:sz w:val="24"/>
          <w:szCs w:val="24"/>
        </w:rPr>
        <w:t>Quorum</w:t>
      </w:r>
      <w:r>
        <w:rPr>
          <w:b/>
          <w:bCs/>
        </w:rPr>
        <w:t xml:space="preserve"> </w:t>
      </w:r>
    </w:p>
    <w:p w:rsidR="00C67F67" w:rsidRDefault="00C67F67" w:rsidP="0076431C">
      <w:r>
        <w:t xml:space="preserve">To be quorate for the meeting to proceed </w:t>
      </w:r>
      <w:r w:rsidR="00486749">
        <w:t xml:space="preserve">will </w:t>
      </w:r>
      <w:r w:rsidR="00FE71B0">
        <w:t xml:space="preserve">require the Chair or Vice Chair, plus a minimum of five other members. </w:t>
      </w:r>
      <w:r w:rsidR="00583E84">
        <w:t xml:space="preserve">To be quorate for </w:t>
      </w:r>
      <w:r>
        <w:t>decision making purposes, the Chair</w:t>
      </w:r>
      <w:r w:rsidR="000070DE">
        <w:t>/s</w:t>
      </w:r>
      <w:r>
        <w:t xml:space="preserve"> of the relevant partnership</w:t>
      </w:r>
      <w:r w:rsidR="000070DE">
        <w:t>/s</w:t>
      </w:r>
      <w:r>
        <w:t xml:space="preserve"> </w:t>
      </w:r>
      <w:r w:rsidR="00820F07">
        <w:t>most impacted</w:t>
      </w:r>
      <w:r w:rsidR="000070DE">
        <w:t xml:space="preserve"> must also be in attendance</w:t>
      </w:r>
      <w:r>
        <w:t>.</w:t>
      </w:r>
    </w:p>
    <w:p w:rsidR="0015063B" w:rsidRPr="0089216C" w:rsidRDefault="00093C2B" w:rsidP="00093C2B">
      <w:pPr>
        <w:rPr>
          <w:b/>
          <w:bCs/>
          <w:sz w:val="24"/>
          <w:szCs w:val="24"/>
        </w:rPr>
      </w:pPr>
      <w:r w:rsidRPr="0089216C">
        <w:rPr>
          <w:b/>
          <w:bCs/>
          <w:sz w:val="24"/>
          <w:szCs w:val="24"/>
        </w:rPr>
        <w:t xml:space="preserve">Chair </w:t>
      </w:r>
    </w:p>
    <w:p w:rsidR="007B27F0" w:rsidRDefault="007B27F0" w:rsidP="00093C2B">
      <w:r>
        <w:t>The Chair of the Board will be the Police and Crime Commissioner</w:t>
      </w:r>
      <w:r w:rsidR="006B236B">
        <w:t>, due to their convening responsibilities under the Police Reform and Social Responsibility Act 2011 (and others)</w:t>
      </w:r>
      <w:r>
        <w:t xml:space="preserve">. </w:t>
      </w:r>
    </w:p>
    <w:p w:rsidR="008F60EA" w:rsidRDefault="004F29D2" w:rsidP="00093C2B">
      <w:r>
        <w:t>The</w:t>
      </w:r>
      <w:r w:rsidR="0015063B" w:rsidRPr="0015063B">
        <w:t xml:space="preserve"> Vice Chair of the Board will </w:t>
      </w:r>
      <w:r>
        <w:t>rotate annually</w:t>
      </w:r>
      <w:r w:rsidR="00AC5359">
        <w:t xml:space="preserve"> and be </w:t>
      </w:r>
      <w:r w:rsidR="006B236B">
        <w:t>selected by majority vote from members</w:t>
      </w:r>
      <w:r w:rsidR="0015063B" w:rsidRPr="0015063B">
        <w:t xml:space="preserve">. </w:t>
      </w:r>
    </w:p>
    <w:p w:rsidR="00AD56EC" w:rsidRDefault="0015063B" w:rsidP="00093C2B">
      <w:r w:rsidRPr="0015063B">
        <w:t>The Chair</w:t>
      </w:r>
      <w:r w:rsidR="008F60EA">
        <w:t xml:space="preserve"> and Vice Chair are</w:t>
      </w:r>
      <w:r w:rsidRPr="0015063B">
        <w:t xml:space="preserve"> expected to possess relevant experience in the priority areas and maintain impartiality. </w:t>
      </w:r>
      <w:r w:rsidR="00D905AC">
        <w:t>In exceptional circumstances, members</w:t>
      </w:r>
      <w:r w:rsidR="005B6405">
        <w:t xml:space="preserve"> </w:t>
      </w:r>
      <w:r w:rsidRPr="0015063B">
        <w:t>may request a change in leadership, subject to a majority vote to elect a new Chair</w:t>
      </w:r>
      <w:r w:rsidR="00AD56EC">
        <w:t xml:space="preserve">. </w:t>
      </w:r>
    </w:p>
    <w:p w:rsidR="00AD56EC" w:rsidRPr="0089216C" w:rsidRDefault="00AD56EC" w:rsidP="00093C2B">
      <w:pPr>
        <w:rPr>
          <w:b/>
          <w:bCs/>
          <w:sz w:val="24"/>
          <w:szCs w:val="24"/>
        </w:rPr>
      </w:pPr>
      <w:r w:rsidRPr="0089216C">
        <w:rPr>
          <w:b/>
          <w:bCs/>
          <w:sz w:val="24"/>
          <w:szCs w:val="24"/>
        </w:rPr>
        <w:t>Administration</w:t>
      </w:r>
    </w:p>
    <w:p w:rsidR="00500759" w:rsidRPr="002763BF" w:rsidRDefault="00500759" w:rsidP="005D41A4">
      <w:pPr>
        <w:pStyle w:val="ListParagraph"/>
        <w:numPr>
          <w:ilvl w:val="0"/>
          <w:numId w:val="24"/>
        </w:numPr>
        <w:rPr>
          <w:b/>
          <w:bCs/>
        </w:rPr>
      </w:pPr>
      <w:r>
        <w:t xml:space="preserve">Board administration will be provided by </w:t>
      </w:r>
      <w:r w:rsidR="008B01EE">
        <w:t>the Office of the Police and Crime Commissioner</w:t>
      </w:r>
    </w:p>
    <w:p w:rsidR="009854EE" w:rsidRPr="00C3753D" w:rsidRDefault="009854EE" w:rsidP="005D41A4">
      <w:pPr>
        <w:pStyle w:val="ListParagraph"/>
        <w:numPr>
          <w:ilvl w:val="0"/>
          <w:numId w:val="24"/>
        </w:numPr>
        <w:rPr>
          <w:b/>
          <w:bCs/>
        </w:rPr>
      </w:pPr>
      <w:r>
        <w:t xml:space="preserve">The board will meet on a quarterly basis, scheduled and booked in advance with all members </w:t>
      </w:r>
    </w:p>
    <w:p w:rsidR="00C3753D" w:rsidRPr="003318AA" w:rsidRDefault="0062732B" w:rsidP="005D41A4">
      <w:pPr>
        <w:pStyle w:val="ListParagraph"/>
        <w:numPr>
          <w:ilvl w:val="0"/>
          <w:numId w:val="24"/>
        </w:numPr>
        <w:rPr>
          <w:b/>
          <w:bCs/>
        </w:rPr>
      </w:pPr>
      <w:r>
        <w:t xml:space="preserve">The agenda, </w:t>
      </w:r>
      <w:r w:rsidR="003318AA">
        <w:t xml:space="preserve">supporting documents and reports will be circulated to all members </w:t>
      </w:r>
      <w:r w:rsidR="00F64996">
        <w:t xml:space="preserve">seven days </w:t>
      </w:r>
      <w:r w:rsidR="003318AA">
        <w:t xml:space="preserve">prior to the meeting taking place </w:t>
      </w:r>
    </w:p>
    <w:p w:rsidR="003318AA" w:rsidRPr="006F6F83" w:rsidRDefault="006F6F83" w:rsidP="005D41A4">
      <w:pPr>
        <w:pStyle w:val="ListParagraph"/>
        <w:numPr>
          <w:ilvl w:val="0"/>
          <w:numId w:val="24"/>
        </w:numPr>
        <w:rPr>
          <w:b/>
          <w:bCs/>
        </w:rPr>
      </w:pPr>
      <w:r>
        <w:t xml:space="preserve">Items under AOB will be allowed at the discretion of the Chair </w:t>
      </w:r>
    </w:p>
    <w:p w:rsidR="006F6F83" w:rsidRPr="006F6F83" w:rsidRDefault="006F6F83" w:rsidP="005D41A4">
      <w:pPr>
        <w:pStyle w:val="ListParagraph"/>
        <w:numPr>
          <w:ilvl w:val="0"/>
          <w:numId w:val="24"/>
        </w:numPr>
        <w:rPr>
          <w:b/>
          <w:bCs/>
        </w:rPr>
      </w:pPr>
      <w:r>
        <w:t xml:space="preserve">Extraordinary meetings may be convened if necessary </w:t>
      </w:r>
    </w:p>
    <w:p w:rsidR="007A0521" w:rsidRPr="007A0521" w:rsidRDefault="00AA143B" w:rsidP="005D41A4">
      <w:pPr>
        <w:pStyle w:val="ListParagraph"/>
        <w:numPr>
          <w:ilvl w:val="0"/>
          <w:numId w:val="24"/>
        </w:numPr>
        <w:rPr>
          <w:b/>
          <w:bCs/>
        </w:rPr>
      </w:pPr>
      <w:r>
        <w:t>Declarations of interest must be disclosed prior to each meeting</w:t>
      </w:r>
    </w:p>
    <w:p w:rsidR="00AA143B" w:rsidRPr="007A0521" w:rsidRDefault="007A0521" w:rsidP="007A0521">
      <w:pPr>
        <w:pStyle w:val="ListParagraph"/>
        <w:numPr>
          <w:ilvl w:val="0"/>
          <w:numId w:val="24"/>
        </w:numPr>
        <w:rPr>
          <w:b/>
          <w:bCs/>
        </w:rPr>
      </w:pPr>
      <w:r>
        <w:t xml:space="preserve">Meetings will not be held publicly, but minutes will be kept on the OPCC website for 6 years </w:t>
      </w:r>
      <w:r w:rsidR="00AA143B">
        <w:t xml:space="preserve"> </w:t>
      </w:r>
    </w:p>
    <w:p w:rsidR="00AD56EC" w:rsidRPr="00AD56EC" w:rsidRDefault="00AD56EC" w:rsidP="00093C2B">
      <w:pPr>
        <w:rPr>
          <w:b/>
          <w:bCs/>
        </w:rPr>
      </w:pPr>
      <w:r w:rsidRPr="0089216C">
        <w:rPr>
          <w:b/>
          <w:bCs/>
          <w:sz w:val="24"/>
          <w:szCs w:val="24"/>
        </w:rPr>
        <w:t>Review</w:t>
      </w:r>
      <w:r>
        <w:rPr>
          <w:b/>
          <w:bCs/>
        </w:rPr>
        <w:t xml:space="preserve"> </w:t>
      </w:r>
    </w:p>
    <w:p w:rsidR="00093C2B" w:rsidRDefault="008B0529" w:rsidP="00093C2B">
      <w:r>
        <w:t xml:space="preserve">The Terms of Reference will be reviewed on an annual basis. </w:t>
      </w:r>
    </w:p>
    <w:p w:rsidR="00975D19" w:rsidRDefault="00975D19" w:rsidP="0089216C">
      <w:pPr>
        <w:rPr>
          <w:b/>
          <w:bCs/>
          <w:color w:val="000000" w:themeColor="text1"/>
          <w:sz w:val="24"/>
          <w:szCs w:val="24"/>
        </w:rPr>
      </w:pPr>
    </w:p>
    <w:p w:rsidR="00975D19" w:rsidRDefault="00975D19" w:rsidP="0089216C">
      <w:pPr>
        <w:rPr>
          <w:b/>
          <w:bCs/>
          <w:color w:val="000000" w:themeColor="text1"/>
          <w:sz w:val="24"/>
          <w:szCs w:val="24"/>
        </w:rPr>
      </w:pPr>
    </w:p>
    <w:p w:rsidR="009B7B12" w:rsidRDefault="009B7B12">
      <w:pPr>
        <w:rPr>
          <w:b/>
          <w:bCs/>
          <w:color w:val="000000" w:themeColor="text1"/>
          <w:sz w:val="24"/>
          <w:szCs w:val="24"/>
        </w:rPr>
      </w:pPr>
      <w:r>
        <w:rPr>
          <w:b/>
          <w:bCs/>
          <w:color w:val="000000" w:themeColor="text1"/>
          <w:sz w:val="24"/>
          <w:szCs w:val="24"/>
        </w:rPr>
        <w:br w:type="page"/>
      </w:r>
    </w:p>
    <w:p w:rsidR="0089216C" w:rsidRPr="0089216C" w:rsidRDefault="00975D19" w:rsidP="0089216C">
      <w:pPr>
        <w:rPr>
          <w:i/>
          <w:iCs/>
          <w:sz w:val="24"/>
          <w:szCs w:val="24"/>
        </w:rPr>
      </w:pPr>
      <w:r>
        <w:rPr>
          <w:b/>
          <w:bCs/>
          <w:color w:val="000000" w:themeColor="text1"/>
          <w:sz w:val="24"/>
          <w:szCs w:val="24"/>
        </w:rPr>
        <w:t xml:space="preserve">Annex A </w:t>
      </w:r>
      <w:r w:rsidR="00076368">
        <w:rPr>
          <w:b/>
          <w:bCs/>
          <w:color w:val="000000" w:themeColor="text1"/>
          <w:sz w:val="24"/>
          <w:szCs w:val="24"/>
        </w:rPr>
        <w:t>–</w:t>
      </w:r>
      <w:r>
        <w:rPr>
          <w:b/>
          <w:bCs/>
          <w:color w:val="000000" w:themeColor="text1"/>
          <w:sz w:val="24"/>
          <w:szCs w:val="24"/>
        </w:rPr>
        <w:t xml:space="preserve"> </w:t>
      </w:r>
      <w:r w:rsidR="0089216C" w:rsidRPr="0089216C">
        <w:rPr>
          <w:b/>
          <w:bCs/>
          <w:color w:val="000000" w:themeColor="text1"/>
          <w:sz w:val="24"/>
          <w:szCs w:val="24"/>
        </w:rPr>
        <w:t>Background</w:t>
      </w:r>
    </w:p>
    <w:p w:rsidR="0089216C" w:rsidRDefault="0089216C" w:rsidP="0089216C">
      <w:pPr>
        <w:rPr>
          <w:rFonts w:cs="Arial"/>
          <w:b/>
          <w:bCs/>
        </w:rPr>
      </w:pPr>
      <w:r>
        <w:rPr>
          <w:rFonts w:cs="Arial"/>
          <w:b/>
          <w:bCs/>
        </w:rPr>
        <w:t>UK Government legislation and policy:</w:t>
      </w:r>
    </w:p>
    <w:p w:rsidR="0089216C" w:rsidRPr="00BF4106" w:rsidRDefault="0089216C" w:rsidP="0089216C">
      <w:pPr>
        <w:rPr>
          <w:rFonts w:cs="Arial"/>
        </w:rPr>
      </w:pPr>
      <w:r>
        <w:rPr>
          <w:rFonts w:cs="Arial"/>
        </w:rPr>
        <w:t xml:space="preserve">The </w:t>
      </w:r>
      <w:r w:rsidRPr="007A7B50">
        <w:rPr>
          <w:rFonts w:cs="Arial"/>
          <w:b/>
          <w:bCs/>
        </w:rPr>
        <w:t>Crime and Disorder Act 1998</w:t>
      </w:r>
      <w:r w:rsidRPr="00BF4106">
        <w:rPr>
          <w:rFonts w:cs="Arial"/>
        </w:rPr>
        <w:t xml:space="preserve">, along with its subsequent amendments, introduced the idea of </w:t>
      </w:r>
      <w:r>
        <w:rPr>
          <w:rFonts w:cs="Arial"/>
        </w:rPr>
        <w:t xml:space="preserve">a </w:t>
      </w:r>
      <w:r w:rsidRPr="00BF4106">
        <w:rPr>
          <w:rFonts w:cs="Arial"/>
        </w:rPr>
        <w:t xml:space="preserve">statutory partnership working to tackle local community safety issues. This initiative led to the creation of the local </w:t>
      </w:r>
      <w:r w:rsidRPr="00C42F3F">
        <w:rPr>
          <w:rFonts w:cs="Arial"/>
          <w:b/>
          <w:bCs/>
        </w:rPr>
        <w:t>Community Safety Partnership (CSP)</w:t>
      </w:r>
      <w:r w:rsidRPr="00BF4106">
        <w:rPr>
          <w:rFonts w:cs="Arial"/>
        </w:rPr>
        <w:t>, which comprises the five 'responsible authorities' that provide empowered and effective leadership</w:t>
      </w:r>
      <w:r>
        <w:rPr>
          <w:rFonts w:cs="Arial"/>
        </w:rPr>
        <w:t xml:space="preserve"> </w:t>
      </w:r>
      <w:r w:rsidRPr="00BF4106">
        <w:rPr>
          <w:rFonts w:cs="Arial"/>
        </w:rPr>
        <w:t>to address:</w:t>
      </w:r>
    </w:p>
    <w:p w:rsidR="0089216C" w:rsidRPr="00BF4106" w:rsidRDefault="0089216C" w:rsidP="0089216C">
      <w:pPr>
        <w:pStyle w:val="BodyText"/>
        <w:numPr>
          <w:ilvl w:val="0"/>
          <w:numId w:val="8"/>
        </w:numPr>
        <w:rPr>
          <w:rFonts w:asciiTheme="minorHAnsi" w:hAnsiTheme="minorHAnsi"/>
          <w:sz w:val="22"/>
          <w:szCs w:val="22"/>
        </w:rPr>
      </w:pPr>
      <w:r w:rsidRPr="00BF4106">
        <w:rPr>
          <w:rFonts w:asciiTheme="minorHAnsi" w:hAnsiTheme="minorHAnsi"/>
          <w:sz w:val="22"/>
          <w:szCs w:val="22"/>
        </w:rPr>
        <w:t>Crime and disorder</w:t>
      </w:r>
    </w:p>
    <w:p w:rsidR="0089216C" w:rsidRPr="00BF4106" w:rsidRDefault="0089216C" w:rsidP="0089216C">
      <w:pPr>
        <w:pStyle w:val="BodyText"/>
        <w:numPr>
          <w:ilvl w:val="0"/>
          <w:numId w:val="8"/>
        </w:numPr>
        <w:rPr>
          <w:rFonts w:asciiTheme="minorHAnsi" w:hAnsiTheme="minorHAnsi"/>
          <w:sz w:val="22"/>
          <w:szCs w:val="22"/>
        </w:rPr>
      </w:pPr>
      <w:r w:rsidRPr="00BF4106">
        <w:rPr>
          <w:rFonts w:asciiTheme="minorHAnsi" w:hAnsiTheme="minorHAnsi"/>
          <w:sz w:val="22"/>
          <w:szCs w:val="22"/>
        </w:rPr>
        <w:t xml:space="preserve">Anti-social </w:t>
      </w:r>
      <w:proofErr w:type="spellStart"/>
      <w:r w:rsidRPr="00BF4106">
        <w:rPr>
          <w:rFonts w:asciiTheme="minorHAnsi" w:hAnsiTheme="minorHAnsi"/>
          <w:sz w:val="22"/>
          <w:szCs w:val="22"/>
        </w:rPr>
        <w:t>behaviour</w:t>
      </w:r>
      <w:proofErr w:type="spellEnd"/>
      <w:r w:rsidRPr="00BF4106">
        <w:rPr>
          <w:rFonts w:asciiTheme="minorHAnsi" w:hAnsiTheme="minorHAnsi"/>
          <w:sz w:val="22"/>
          <w:szCs w:val="22"/>
        </w:rPr>
        <w:t xml:space="preserve"> and </w:t>
      </w:r>
      <w:proofErr w:type="spellStart"/>
      <w:r w:rsidRPr="00BF4106">
        <w:rPr>
          <w:rFonts w:asciiTheme="minorHAnsi" w:hAnsiTheme="minorHAnsi"/>
          <w:sz w:val="22"/>
          <w:szCs w:val="22"/>
        </w:rPr>
        <w:t>behaviour</w:t>
      </w:r>
      <w:proofErr w:type="spellEnd"/>
      <w:r w:rsidRPr="00BF4106">
        <w:rPr>
          <w:rFonts w:asciiTheme="minorHAnsi" w:hAnsiTheme="minorHAnsi"/>
          <w:sz w:val="22"/>
          <w:szCs w:val="22"/>
        </w:rPr>
        <w:t xml:space="preserve"> affecting the local environment</w:t>
      </w:r>
    </w:p>
    <w:p w:rsidR="0089216C" w:rsidRPr="00BF4106" w:rsidRDefault="0089216C" w:rsidP="0089216C">
      <w:pPr>
        <w:pStyle w:val="BodyText"/>
        <w:numPr>
          <w:ilvl w:val="0"/>
          <w:numId w:val="8"/>
        </w:numPr>
        <w:rPr>
          <w:rFonts w:asciiTheme="minorHAnsi" w:hAnsiTheme="minorHAnsi"/>
          <w:sz w:val="22"/>
          <w:szCs w:val="22"/>
        </w:rPr>
      </w:pPr>
      <w:r w:rsidRPr="00BF4106">
        <w:rPr>
          <w:rFonts w:asciiTheme="minorHAnsi" w:hAnsiTheme="minorHAnsi"/>
          <w:sz w:val="22"/>
          <w:szCs w:val="22"/>
        </w:rPr>
        <w:t>Misuse of drugs, alcohol, and other substances</w:t>
      </w:r>
    </w:p>
    <w:p w:rsidR="0089216C" w:rsidRPr="00BF4106" w:rsidRDefault="0089216C" w:rsidP="0089216C">
      <w:pPr>
        <w:pStyle w:val="BodyText"/>
        <w:numPr>
          <w:ilvl w:val="0"/>
          <w:numId w:val="8"/>
        </w:numPr>
        <w:rPr>
          <w:rFonts w:asciiTheme="minorHAnsi" w:hAnsiTheme="minorHAnsi"/>
          <w:sz w:val="22"/>
          <w:szCs w:val="22"/>
        </w:rPr>
      </w:pPr>
      <w:r w:rsidRPr="00BF4106">
        <w:rPr>
          <w:rFonts w:asciiTheme="minorHAnsi" w:hAnsiTheme="minorHAnsi"/>
          <w:sz w:val="22"/>
          <w:szCs w:val="22"/>
        </w:rPr>
        <w:t>Re-offending</w:t>
      </w:r>
    </w:p>
    <w:p w:rsidR="0089216C" w:rsidRPr="00BF4106" w:rsidRDefault="0089216C" w:rsidP="0089216C">
      <w:pPr>
        <w:pStyle w:val="BodyText"/>
        <w:numPr>
          <w:ilvl w:val="0"/>
          <w:numId w:val="8"/>
        </w:numPr>
        <w:rPr>
          <w:rFonts w:asciiTheme="minorHAnsi" w:hAnsiTheme="minorHAnsi"/>
          <w:sz w:val="22"/>
          <w:szCs w:val="22"/>
        </w:rPr>
      </w:pPr>
      <w:r w:rsidRPr="00BF4106">
        <w:rPr>
          <w:rFonts w:asciiTheme="minorHAnsi" w:hAnsiTheme="minorHAnsi"/>
          <w:sz w:val="22"/>
          <w:szCs w:val="22"/>
        </w:rPr>
        <w:t>Serious violence and instances of serious violence</w:t>
      </w:r>
    </w:p>
    <w:p w:rsidR="0089216C" w:rsidRDefault="0089216C" w:rsidP="0089216C">
      <w:pPr>
        <w:pStyle w:val="BodyText"/>
        <w:numPr>
          <w:ilvl w:val="0"/>
          <w:numId w:val="8"/>
        </w:numPr>
        <w:rPr>
          <w:rFonts w:asciiTheme="minorHAnsi" w:hAnsiTheme="minorHAnsi"/>
          <w:sz w:val="22"/>
          <w:szCs w:val="22"/>
        </w:rPr>
      </w:pPr>
      <w:r w:rsidRPr="00BF4106">
        <w:rPr>
          <w:rFonts w:asciiTheme="minorHAnsi" w:hAnsiTheme="minorHAnsi"/>
          <w:sz w:val="22"/>
          <w:szCs w:val="22"/>
        </w:rPr>
        <w:t>Conduct domestic homicide reviews</w:t>
      </w:r>
    </w:p>
    <w:p w:rsidR="0089216C" w:rsidRDefault="0089216C" w:rsidP="0089216C">
      <w:pPr>
        <w:pStyle w:val="BodyText"/>
        <w:ind w:left="0"/>
        <w:rPr>
          <w:rFonts w:asciiTheme="minorHAnsi" w:hAnsiTheme="minorHAnsi"/>
          <w:sz w:val="22"/>
          <w:szCs w:val="22"/>
        </w:rPr>
      </w:pPr>
    </w:p>
    <w:p w:rsidR="0089216C" w:rsidRPr="0012206C" w:rsidRDefault="0089216C" w:rsidP="0089216C">
      <w:pPr>
        <w:pStyle w:val="BodyText"/>
        <w:ind w:left="0"/>
        <w:rPr>
          <w:rFonts w:asciiTheme="minorHAnsi" w:hAnsiTheme="minorHAnsi"/>
          <w:sz w:val="22"/>
          <w:szCs w:val="22"/>
          <w:lang w:val="en-GB"/>
        </w:rPr>
      </w:pPr>
      <w:r w:rsidRPr="0012206C">
        <w:rPr>
          <w:rFonts w:asciiTheme="minorHAnsi" w:hAnsiTheme="minorHAnsi"/>
          <w:sz w:val="22"/>
          <w:szCs w:val="22"/>
          <w:lang w:val="en-GB"/>
        </w:rPr>
        <w:t xml:space="preserve">The </w:t>
      </w:r>
      <w:r w:rsidRPr="0012206C">
        <w:rPr>
          <w:rFonts w:asciiTheme="minorHAnsi" w:hAnsiTheme="minorHAnsi"/>
          <w:b/>
          <w:bCs/>
          <w:sz w:val="22"/>
          <w:szCs w:val="22"/>
          <w:lang w:val="en-GB"/>
        </w:rPr>
        <w:t>UK Counter-Terrorism Strategy known as CONTEST</w:t>
      </w:r>
      <w:r>
        <w:rPr>
          <w:rFonts w:asciiTheme="minorHAnsi" w:hAnsiTheme="minorHAnsi"/>
          <w:b/>
          <w:bCs/>
          <w:sz w:val="22"/>
          <w:szCs w:val="22"/>
          <w:lang w:val="en-GB"/>
        </w:rPr>
        <w:t xml:space="preserve"> </w:t>
      </w:r>
      <w:r>
        <w:rPr>
          <w:rFonts w:asciiTheme="minorHAnsi" w:hAnsiTheme="minorHAnsi"/>
          <w:sz w:val="22"/>
          <w:szCs w:val="22"/>
          <w:lang w:val="en-GB"/>
        </w:rPr>
        <w:t>was introduced in</w:t>
      </w:r>
      <w:r w:rsidRPr="004C1BD3">
        <w:rPr>
          <w:rFonts w:asciiTheme="minorHAnsi" w:hAnsiTheme="minorHAnsi"/>
          <w:sz w:val="22"/>
          <w:szCs w:val="22"/>
          <w:lang w:val="en-GB"/>
        </w:rPr>
        <w:t xml:space="preserve"> 2003</w:t>
      </w:r>
      <w:r w:rsidRPr="0012206C">
        <w:rPr>
          <w:rFonts w:asciiTheme="minorHAnsi" w:hAnsiTheme="minorHAnsi"/>
          <w:sz w:val="22"/>
          <w:szCs w:val="22"/>
          <w:lang w:val="en-GB"/>
        </w:rPr>
        <w:t>.  The CONTEST strategy has four key elements:</w:t>
      </w:r>
    </w:p>
    <w:p w:rsidR="0089216C" w:rsidRPr="0012206C" w:rsidRDefault="0089216C" w:rsidP="0089216C">
      <w:pPr>
        <w:pStyle w:val="BodyText"/>
        <w:numPr>
          <w:ilvl w:val="0"/>
          <w:numId w:val="16"/>
        </w:numPr>
        <w:rPr>
          <w:rFonts w:asciiTheme="minorHAnsi" w:hAnsiTheme="minorHAnsi"/>
          <w:sz w:val="22"/>
          <w:szCs w:val="22"/>
          <w:lang w:val="en-GB"/>
        </w:rPr>
      </w:pPr>
      <w:r w:rsidRPr="0012206C">
        <w:rPr>
          <w:rFonts w:asciiTheme="minorHAnsi" w:hAnsiTheme="minorHAnsi"/>
          <w:sz w:val="22"/>
          <w:szCs w:val="22"/>
          <w:lang w:val="en-GB"/>
        </w:rPr>
        <w:t>Pursue – to stop terrorist attacks</w:t>
      </w:r>
    </w:p>
    <w:p w:rsidR="0089216C" w:rsidRPr="0012206C" w:rsidRDefault="0089216C" w:rsidP="0089216C">
      <w:pPr>
        <w:pStyle w:val="BodyText"/>
        <w:numPr>
          <w:ilvl w:val="0"/>
          <w:numId w:val="16"/>
        </w:numPr>
        <w:rPr>
          <w:rFonts w:asciiTheme="minorHAnsi" w:hAnsiTheme="minorHAnsi"/>
          <w:sz w:val="22"/>
          <w:szCs w:val="22"/>
          <w:lang w:val="en-GB"/>
        </w:rPr>
      </w:pPr>
      <w:r w:rsidRPr="0012206C">
        <w:rPr>
          <w:rFonts w:asciiTheme="minorHAnsi" w:hAnsiTheme="minorHAnsi"/>
          <w:sz w:val="22"/>
          <w:szCs w:val="22"/>
          <w:lang w:val="en-GB"/>
        </w:rPr>
        <w:t>Prevent – to stop people becoming terrorists or supporting violent extremism</w:t>
      </w:r>
    </w:p>
    <w:p w:rsidR="0089216C" w:rsidRPr="0012206C" w:rsidRDefault="0089216C" w:rsidP="0089216C">
      <w:pPr>
        <w:pStyle w:val="BodyText"/>
        <w:numPr>
          <w:ilvl w:val="0"/>
          <w:numId w:val="16"/>
        </w:numPr>
        <w:rPr>
          <w:rFonts w:asciiTheme="minorHAnsi" w:hAnsiTheme="minorHAnsi"/>
          <w:sz w:val="22"/>
          <w:szCs w:val="22"/>
          <w:lang w:val="en-GB"/>
        </w:rPr>
      </w:pPr>
      <w:r w:rsidRPr="0012206C">
        <w:rPr>
          <w:rFonts w:asciiTheme="minorHAnsi" w:hAnsiTheme="minorHAnsi"/>
          <w:sz w:val="22"/>
          <w:szCs w:val="22"/>
          <w:lang w:val="en-GB"/>
        </w:rPr>
        <w:t>Protect – to strengthen our protection against terrorist attack</w:t>
      </w:r>
    </w:p>
    <w:p w:rsidR="0089216C" w:rsidRPr="00CB38FD" w:rsidRDefault="0089216C" w:rsidP="0089216C">
      <w:pPr>
        <w:pStyle w:val="BodyText"/>
        <w:numPr>
          <w:ilvl w:val="0"/>
          <w:numId w:val="16"/>
        </w:numPr>
        <w:rPr>
          <w:rFonts w:asciiTheme="minorHAnsi" w:hAnsiTheme="minorHAnsi"/>
          <w:sz w:val="22"/>
          <w:szCs w:val="22"/>
          <w:lang w:val="en-GB"/>
        </w:rPr>
      </w:pPr>
      <w:r w:rsidRPr="0012206C">
        <w:rPr>
          <w:rFonts w:asciiTheme="minorHAnsi" w:hAnsiTheme="minorHAnsi"/>
          <w:sz w:val="22"/>
          <w:szCs w:val="22"/>
          <w:lang w:val="en-GB"/>
        </w:rPr>
        <w:t>Prepare – where an attack cannot be stopped, to mitigate its impact</w:t>
      </w:r>
    </w:p>
    <w:p w:rsidR="0089216C" w:rsidRPr="0012206C" w:rsidRDefault="0089216C" w:rsidP="0089216C">
      <w:pPr>
        <w:pStyle w:val="BodyText"/>
        <w:ind w:left="0"/>
        <w:rPr>
          <w:rFonts w:asciiTheme="minorHAnsi" w:hAnsiTheme="minorHAnsi"/>
          <w:sz w:val="22"/>
          <w:szCs w:val="22"/>
          <w:lang w:val="en-GB"/>
        </w:rPr>
      </w:pPr>
      <w:r>
        <w:rPr>
          <w:rFonts w:asciiTheme="minorHAnsi" w:hAnsiTheme="minorHAnsi"/>
          <w:sz w:val="22"/>
          <w:szCs w:val="22"/>
          <w:lang w:val="en-GB"/>
        </w:rPr>
        <w:t>All relevant</w:t>
      </w:r>
      <w:r w:rsidRPr="0012206C">
        <w:rPr>
          <w:rFonts w:asciiTheme="minorHAnsi" w:hAnsiTheme="minorHAnsi"/>
          <w:sz w:val="22"/>
          <w:szCs w:val="22"/>
          <w:lang w:val="en-GB"/>
        </w:rPr>
        <w:t xml:space="preserve"> statutory and voluntary organisations </w:t>
      </w:r>
      <w:r>
        <w:rPr>
          <w:rFonts w:asciiTheme="minorHAnsi" w:hAnsiTheme="minorHAnsi"/>
          <w:sz w:val="22"/>
          <w:szCs w:val="22"/>
          <w:lang w:val="en-GB"/>
        </w:rPr>
        <w:t xml:space="preserve">work together locally </w:t>
      </w:r>
      <w:r w:rsidRPr="0012206C">
        <w:rPr>
          <w:rFonts w:asciiTheme="minorHAnsi" w:hAnsiTheme="minorHAnsi"/>
          <w:sz w:val="22"/>
          <w:szCs w:val="22"/>
          <w:lang w:val="en-GB"/>
        </w:rPr>
        <w:t xml:space="preserve">through the </w:t>
      </w:r>
      <w:r w:rsidRPr="0012206C">
        <w:rPr>
          <w:rFonts w:asciiTheme="minorHAnsi" w:hAnsiTheme="minorHAnsi"/>
          <w:b/>
          <w:bCs/>
          <w:sz w:val="22"/>
          <w:szCs w:val="22"/>
          <w:lang w:val="en-GB"/>
        </w:rPr>
        <w:t>Gwent CONTEST Board</w:t>
      </w:r>
      <w:r>
        <w:rPr>
          <w:rFonts w:asciiTheme="minorHAnsi" w:hAnsiTheme="minorHAnsi"/>
          <w:sz w:val="22"/>
          <w:szCs w:val="22"/>
          <w:lang w:val="en-GB"/>
        </w:rPr>
        <w:t>, with duties also placed on CSPs in relation to Prevent</w:t>
      </w:r>
      <w:r w:rsidRPr="0012206C">
        <w:rPr>
          <w:rFonts w:asciiTheme="minorHAnsi" w:hAnsiTheme="minorHAnsi"/>
          <w:sz w:val="22"/>
          <w:szCs w:val="22"/>
          <w:lang w:val="en-GB"/>
        </w:rPr>
        <w:t>.  The board oversees the local implementation of CONTEST</w:t>
      </w:r>
      <w:r>
        <w:rPr>
          <w:rFonts w:asciiTheme="minorHAnsi" w:hAnsiTheme="minorHAnsi"/>
          <w:sz w:val="22"/>
          <w:szCs w:val="22"/>
          <w:lang w:val="en-GB"/>
        </w:rPr>
        <w:t>, which links to the relevant community safety partnerships to help them carry out their duty to prevent terrorism</w:t>
      </w:r>
      <w:r w:rsidRPr="0012206C">
        <w:rPr>
          <w:rFonts w:asciiTheme="minorHAnsi" w:hAnsiTheme="minorHAnsi"/>
          <w:sz w:val="22"/>
          <w:szCs w:val="22"/>
          <w:lang w:val="en-GB"/>
        </w:rPr>
        <w:t>.</w:t>
      </w:r>
    </w:p>
    <w:p w:rsidR="0089216C" w:rsidRDefault="0089216C" w:rsidP="0089216C">
      <w:pPr>
        <w:pStyle w:val="BodyText"/>
        <w:ind w:left="0"/>
        <w:rPr>
          <w:rFonts w:asciiTheme="minorHAnsi" w:hAnsiTheme="minorHAnsi"/>
          <w:sz w:val="22"/>
          <w:szCs w:val="22"/>
        </w:rPr>
      </w:pPr>
    </w:p>
    <w:p w:rsidR="0089216C" w:rsidRDefault="0089216C" w:rsidP="0089216C">
      <w:pPr>
        <w:pStyle w:val="BodyText"/>
        <w:ind w:left="0"/>
        <w:rPr>
          <w:rFonts w:asciiTheme="minorHAnsi" w:hAnsiTheme="minorHAnsi"/>
          <w:sz w:val="22"/>
          <w:szCs w:val="22"/>
        </w:rPr>
      </w:pPr>
      <w:r>
        <w:rPr>
          <w:rFonts w:asciiTheme="minorHAnsi" w:hAnsiTheme="minorHAnsi"/>
          <w:sz w:val="22"/>
          <w:szCs w:val="22"/>
        </w:rPr>
        <w:t xml:space="preserve">The </w:t>
      </w:r>
      <w:r>
        <w:rPr>
          <w:rFonts w:asciiTheme="minorHAnsi" w:hAnsiTheme="minorHAnsi"/>
          <w:b/>
          <w:bCs/>
          <w:sz w:val="22"/>
          <w:szCs w:val="22"/>
        </w:rPr>
        <w:t xml:space="preserve">Police Reform and Social Responsibility Act 2011 </w:t>
      </w:r>
      <w:r>
        <w:rPr>
          <w:rFonts w:asciiTheme="minorHAnsi" w:hAnsiTheme="minorHAnsi"/>
          <w:sz w:val="22"/>
          <w:szCs w:val="22"/>
        </w:rPr>
        <w:t xml:space="preserve">introduced </w:t>
      </w:r>
      <w:r w:rsidRPr="005D574E">
        <w:rPr>
          <w:rFonts w:asciiTheme="minorHAnsi" w:hAnsiTheme="minorHAnsi"/>
          <w:b/>
          <w:bCs/>
          <w:sz w:val="22"/>
          <w:szCs w:val="22"/>
        </w:rPr>
        <w:t>Police and Crime Commissioners</w:t>
      </w:r>
      <w:r>
        <w:rPr>
          <w:rFonts w:asciiTheme="minorHAnsi" w:hAnsiTheme="minorHAnsi"/>
          <w:sz w:val="22"/>
          <w:szCs w:val="22"/>
        </w:rPr>
        <w:t xml:space="preserve">, who’s remit extended into community safety, including commissioning services to prevent and reduce crime, convening partners and partnerships, engaging with and at times monitoring and </w:t>
      </w:r>
      <w:proofErr w:type="spellStart"/>
      <w:r>
        <w:rPr>
          <w:rFonts w:asciiTheme="minorHAnsi" w:hAnsiTheme="minorHAnsi"/>
          <w:sz w:val="22"/>
          <w:szCs w:val="22"/>
        </w:rPr>
        <w:t>scrutinising</w:t>
      </w:r>
      <w:proofErr w:type="spellEnd"/>
      <w:r>
        <w:rPr>
          <w:rFonts w:asciiTheme="minorHAnsi" w:hAnsiTheme="minorHAnsi"/>
          <w:sz w:val="22"/>
          <w:szCs w:val="22"/>
        </w:rPr>
        <w:t xml:space="preserve"> various aspects of community safety partnerships. In England this included the power to establish a CSP at police force area level. </w:t>
      </w:r>
    </w:p>
    <w:p w:rsidR="0089216C" w:rsidRDefault="0089216C" w:rsidP="0089216C">
      <w:pPr>
        <w:pStyle w:val="BodyText"/>
        <w:ind w:left="0"/>
        <w:rPr>
          <w:rFonts w:asciiTheme="minorHAnsi" w:hAnsiTheme="minorHAnsi"/>
          <w:sz w:val="22"/>
          <w:szCs w:val="22"/>
        </w:rPr>
      </w:pPr>
    </w:p>
    <w:p w:rsidR="0089216C" w:rsidRDefault="0089216C" w:rsidP="0089216C">
      <w:pPr>
        <w:pStyle w:val="BodyText"/>
        <w:ind w:left="0"/>
        <w:rPr>
          <w:rFonts w:asciiTheme="minorHAnsi" w:hAnsiTheme="minorHAnsi"/>
          <w:sz w:val="22"/>
          <w:szCs w:val="22"/>
        </w:rPr>
      </w:pPr>
      <w:r>
        <w:rPr>
          <w:rFonts w:asciiTheme="minorHAnsi" w:hAnsiTheme="minorHAnsi"/>
          <w:sz w:val="22"/>
          <w:szCs w:val="22"/>
        </w:rPr>
        <w:t xml:space="preserve">The Act also set out a duty on PCCs and criminal justice agencies to work together to provide an efficient and effective criminal justice system via existing, informal, </w:t>
      </w:r>
      <w:r w:rsidRPr="005D574E">
        <w:rPr>
          <w:rFonts w:asciiTheme="minorHAnsi" w:hAnsiTheme="minorHAnsi"/>
          <w:b/>
          <w:bCs/>
          <w:sz w:val="22"/>
          <w:szCs w:val="22"/>
        </w:rPr>
        <w:t>Local Criminal Justice Board</w:t>
      </w:r>
      <w:r>
        <w:rPr>
          <w:rFonts w:asciiTheme="minorHAnsi" w:hAnsiTheme="minorHAnsi"/>
          <w:b/>
          <w:bCs/>
          <w:sz w:val="22"/>
          <w:szCs w:val="22"/>
        </w:rPr>
        <w:t xml:space="preserve"> (LCJB) </w:t>
      </w:r>
      <w:r>
        <w:rPr>
          <w:rFonts w:asciiTheme="minorHAnsi" w:hAnsiTheme="minorHAnsi"/>
          <w:sz w:val="22"/>
          <w:szCs w:val="22"/>
        </w:rPr>
        <w:t xml:space="preserve">arrangements. The PCC is the chair of the LCJB in Gwent and legislation is currently being developed to put LCJBs on a statutory footing, with PCCs as chair. </w:t>
      </w:r>
    </w:p>
    <w:p w:rsidR="0089216C" w:rsidRDefault="0089216C" w:rsidP="0089216C">
      <w:pPr>
        <w:pStyle w:val="BodyText"/>
        <w:ind w:left="0"/>
        <w:rPr>
          <w:rFonts w:asciiTheme="minorHAnsi" w:hAnsiTheme="minorHAnsi"/>
          <w:sz w:val="22"/>
          <w:szCs w:val="22"/>
        </w:rPr>
      </w:pPr>
    </w:p>
    <w:p w:rsidR="0089216C" w:rsidRPr="00837D9E" w:rsidRDefault="0089216C" w:rsidP="0089216C">
      <w:pPr>
        <w:pStyle w:val="BodyText"/>
        <w:ind w:left="0"/>
        <w:rPr>
          <w:rFonts w:asciiTheme="minorHAnsi" w:hAnsiTheme="minorHAnsi"/>
          <w:sz w:val="22"/>
          <w:szCs w:val="22"/>
        </w:rPr>
      </w:pPr>
      <w:r>
        <w:rPr>
          <w:rFonts w:asciiTheme="minorHAnsi" w:hAnsiTheme="minorHAnsi"/>
          <w:sz w:val="22"/>
          <w:szCs w:val="22"/>
        </w:rPr>
        <w:t xml:space="preserve">The </w:t>
      </w:r>
      <w:r>
        <w:rPr>
          <w:rFonts w:asciiTheme="minorHAnsi" w:hAnsiTheme="minorHAnsi"/>
          <w:b/>
          <w:bCs/>
          <w:sz w:val="22"/>
          <w:szCs w:val="22"/>
        </w:rPr>
        <w:t>Police, Crime, Sentencing and Courts Act 2022</w:t>
      </w:r>
      <w:r>
        <w:rPr>
          <w:rFonts w:asciiTheme="minorHAnsi" w:hAnsiTheme="minorHAnsi"/>
          <w:sz w:val="22"/>
          <w:szCs w:val="22"/>
        </w:rPr>
        <w:t xml:space="preserve"> created a new </w:t>
      </w:r>
      <w:r>
        <w:rPr>
          <w:rFonts w:asciiTheme="minorHAnsi" w:hAnsiTheme="minorHAnsi"/>
          <w:b/>
          <w:bCs/>
          <w:sz w:val="22"/>
          <w:szCs w:val="22"/>
        </w:rPr>
        <w:t xml:space="preserve">Serious Violence Duty </w:t>
      </w:r>
      <w:r>
        <w:rPr>
          <w:rFonts w:asciiTheme="minorHAnsi" w:hAnsiTheme="minorHAnsi"/>
          <w:sz w:val="22"/>
          <w:szCs w:val="22"/>
        </w:rPr>
        <w:t xml:space="preserve">placed on the core community safety partners (plus some others) to work together to prevent and reduce serious violence. It also placed a requirement on CSPs to include serious violence as a strategic priority and for PCCs to convene partners and oversee arrangements and implementation of the various requirements. At present, a </w:t>
      </w:r>
      <w:r>
        <w:rPr>
          <w:rFonts w:asciiTheme="minorHAnsi" w:hAnsiTheme="minorHAnsi"/>
          <w:b/>
          <w:bCs/>
          <w:sz w:val="22"/>
          <w:szCs w:val="22"/>
        </w:rPr>
        <w:t>Gwent Serious Violence Duty Partnership Working Group</w:t>
      </w:r>
      <w:r>
        <w:rPr>
          <w:rFonts w:asciiTheme="minorHAnsi" w:hAnsiTheme="minorHAnsi"/>
          <w:sz w:val="22"/>
          <w:szCs w:val="22"/>
        </w:rPr>
        <w:t xml:space="preserve"> works on behalf of CSPs to manage the bulk of the requirements under the Duty.   </w:t>
      </w:r>
    </w:p>
    <w:p w:rsidR="0089216C" w:rsidRDefault="0089216C" w:rsidP="0089216C">
      <w:pPr>
        <w:pStyle w:val="BodyText"/>
        <w:ind w:left="0"/>
        <w:rPr>
          <w:rFonts w:asciiTheme="minorHAnsi" w:hAnsiTheme="minorHAnsi"/>
          <w:sz w:val="22"/>
          <w:szCs w:val="22"/>
        </w:rPr>
      </w:pPr>
    </w:p>
    <w:p w:rsidR="0089216C" w:rsidRDefault="0089216C" w:rsidP="0089216C">
      <w:pPr>
        <w:pStyle w:val="BodyText"/>
        <w:ind w:left="0"/>
        <w:rPr>
          <w:rFonts w:asciiTheme="minorHAnsi" w:hAnsiTheme="minorHAnsi"/>
          <w:b/>
          <w:bCs/>
          <w:sz w:val="22"/>
          <w:szCs w:val="22"/>
        </w:rPr>
      </w:pPr>
      <w:r>
        <w:rPr>
          <w:rFonts w:asciiTheme="minorHAnsi" w:hAnsiTheme="minorHAnsi"/>
          <w:b/>
          <w:bCs/>
          <w:sz w:val="22"/>
          <w:szCs w:val="22"/>
        </w:rPr>
        <w:t>Welsh Government legislation and policy:</w:t>
      </w:r>
    </w:p>
    <w:p w:rsidR="0089216C" w:rsidRDefault="0089216C" w:rsidP="0089216C">
      <w:pPr>
        <w:pStyle w:val="BodyText"/>
        <w:ind w:left="0"/>
        <w:rPr>
          <w:rFonts w:asciiTheme="minorHAnsi" w:hAnsiTheme="minorHAnsi"/>
          <w:b/>
          <w:bCs/>
          <w:sz w:val="22"/>
          <w:szCs w:val="22"/>
        </w:rPr>
      </w:pPr>
    </w:p>
    <w:p w:rsidR="0089216C" w:rsidRDefault="0089216C" w:rsidP="0089216C">
      <w:pPr>
        <w:pStyle w:val="BodyText"/>
        <w:ind w:left="0"/>
        <w:rPr>
          <w:rFonts w:asciiTheme="minorHAnsi" w:hAnsiTheme="minorHAnsi"/>
          <w:sz w:val="22"/>
          <w:szCs w:val="22"/>
          <w:lang w:val="en-GB"/>
        </w:rPr>
      </w:pPr>
      <w:r>
        <w:rPr>
          <w:rFonts w:asciiTheme="minorHAnsi" w:hAnsiTheme="minorHAnsi"/>
          <w:sz w:val="22"/>
          <w:szCs w:val="22"/>
          <w:lang w:val="en-GB"/>
        </w:rPr>
        <w:t>In 2010, the</w:t>
      </w:r>
      <w:r w:rsidRPr="00C42F3F">
        <w:rPr>
          <w:rFonts w:asciiTheme="minorHAnsi" w:hAnsiTheme="minorHAnsi"/>
          <w:sz w:val="22"/>
          <w:szCs w:val="22"/>
          <w:lang w:val="en-GB"/>
        </w:rPr>
        <w:t xml:space="preserve"> </w:t>
      </w:r>
      <w:r w:rsidRPr="00C42F3F">
        <w:rPr>
          <w:rFonts w:asciiTheme="minorHAnsi" w:hAnsiTheme="minorHAnsi"/>
          <w:b/>
          <w:bCs/>
          <w:sz w:val="22"/>
          <w:szCs w:val="22"/>
          <w:lang w:val="en-GB"/>
        </w:rPr>
        <w:t>Substance Misuse Strategy ‘Working Together to Reduce Harm’</w:t>
      </w:r>
      <w:r>
        <w:rPr>
          <w:rFonts w:asciiTheme="minorHAnsi" w:hAnsiTheme="minorHAnsi"/>
          <w:sz w:val="22"/>
          <w:szCs w:val="22"/>
          <w:lang w:val="en-GB"/>
        </w:rPr>
        <w:t xml:space="preserve"> established </w:t>
      </w:r>
      <w:r w:rsidRPr="00C42F3F">
        <w:rPr>
          <w:rFonts w:asciiTheme="minorHAnsi" w:hAnsiTheme="minorHAnsi"/>
          <w:b/>
          <w:bCs/>
          <w:sz w:val="22"/>
          <w:szCs w:val="22"/>
          <w:lang w:val="en-GB"/>
        </w:rPr>
        <w:t>Area Planning Boards (APBs)</w:t>
      </w:r>
      <w:r w:rsidRPr="00C42F3F">
        <w:rPr>
          <w:rFonts w:asciiTheme="minorHAnsi" w:hAnsiTheme="minorHAnsi"/>
          <w:sz w:val="22"/>
          <w:szCs w:val="22"/>
          <w:lang w:val="en-GB"/>
        </w:rPr>
        <w:t xml:space="preserve"> as part of the new arrangements to deliver the</w:t>
      </w:r>
      <w:r>
        <w:rPr>
          <w:rFonts w:asciiTheme="minorHAnsi" w:hAnsiTheme="minorHAnsi"/>
          <w:sz w:val="22"/>
          <w:szCs w:val="22"/>
          <w:lang w:val="en-GB"/>
        </w:rPr>
        <w:t xml:space="preserve"> Strategy</w:t>
      </w:r>
      <w:r w:rsidRPr="00C42F3F">
        <w:rPr>
          <w:rFonts w:asciiTheme="minorHAnsi" w:hAnsiTheme="minorHAnsi"/>
          <w:sz w:val="22"/>
          <w:szCs w:val="22"/>
          <w:lang w:val="en-GB"/>
        </w:rPr>
        <w:t xml:space="preserve">. The APBs </w:t>
      </w:r>
      <w:r>
        <w:rPr>
          <w:rFonts w:asciiTheme="minorHAnsi" w:hAnsiTheme="minorHAnsi"/>
          <w:sz w:val="22"/>
          <w:szCs w:val="22"/>
          <w:lang w:val="en-GB"/>
        </w:rPr>
        <w:t>are</w:t>
      </w:r>
      <w:r w:rsidRPr="00C42F3F">
        <w:rPr>
          <w:rFonts w:asciiTheme="minorHAnsi" w:hAnsiTheme="minorHAnsi"/>
          <w:sz w:val="22"/>
          <w:szCs w:val="22"/>
          <w:lang w:val="en-GB"/>
        </w:rPr>
        <w:t xml:space="preserve"> intended to provide a regional framework to</w:t>
      </w:r>
      <w:r>
        <w:rPr>
          <w:rFonts w:asciiTheme="minorHAnsi" w:hAnsiTheme="minorHAnsi"/>
          <w:sz w:val="22"/>
          <w:szCs w:val="22"/>
          <w:lang w:val="en-GB"/>
        </w:rPr>
        <w:t xml:space="preserve"> s</w:t>
      </w:r>
      <w:r w:rsidRPr="00C42F3F">
        <w:rPr>
          <w:rFonts w:asciiTheme="minorHAnsi" w:hAnsiTheme="minorHAnsi"/>
          <w:sz w:val="22"/>
          <w:szCs w:val="22"/>
          <w:lang w:val="en-GB"/>
        </w:rPr>
        <w:t>trengthen partnership working and strategic leadership in the delivery of the substance misuse strategy</w:t>
      </w:r>
      <w:r>
        <w:rPr>
          <w:rFonts w:asciiTheme="minorHAnsi" w:hAnsiTheme="minorHAnsi"/>
          <w:sz w:val="22"/>
          <w:szCs w:val="22"/>
          <w:lang w:val="en-GB"/>
        </w:rPr>
        <w:t>,</w:t>
      </w:r>
      <w:r w:rsidRPr="00C42F3F">
        <w:rPr>
          <w:rFonts w:asciiTheme="minorHAnsi" w:hAnsiTheme="minorHAnsi"/>
          <w:sz w:val="22"/>
          <w:szCs w:val="22"/>
          <w:lang w:val="en-GB"/>
        </w:rPr>
        <w:t xml:space="preserve"> and </w:t>
      </w:r>
      <w:r>
        <w:rPr>
          <w:rFonts w:asciiTheme="minorHAnsi" w:hAnsiTheme="minorHAnsi"/>
          <w:sz w:val="22"/>
          <w:szCs w:val="22"/>
          <w:lang w:val="en-GB"/>
        </w:rPr>
        <w:t>e</w:t>
      </w:r>
      <w:r w:rsidRPr="00C42F3F">
        <w:rPr>
          <w:rFonts w:asciiTheme="minorHAnsi" w:hAnsiTheme="minorHAnsi"/>
          <w:sz w:val="22"/>
          <w:szCs w:val="22"/>
          <w:lang w:val="en-GB"/>
        </w:rPr>
        <w:t xml:space="preserve">nhance and improve the key functions of planning, commissioning and performance management. </w:t>
      </w:r>
    </w:p>
    <w:p w:rsidR="0089216C" w:rsidRDefault="0089216C" w:rsidP="0089216C">
      <w:pPr>
        <w:pStyle w:val="BodyText"/>
        <w:ind w:left="0"/>
        <w:rPr>
          <w:rFonts w:asciiTheme="minorHAnsi" w:hAnsiTheme="minorHAnsi"/>
          <w:sz w:val="22"/>
          <w:szCs w:val="22"/>
          <w:lang w:val="en-GB"/>
        </w:rPr>
      </w:pPr>
    </w:p>
    <w:p w:rsidR="0089216C" w:rsidRDefault="0089216C" w:rsidP="0089216C">
      <w:pPr>
        <w:pStyle w:val="BodyText"/>
        <w:ind w:left="0"/>
        <w:rPr>
          <w:rFonts w:asciiTheme="minorHAnsi" w:hAnsiTheme="minorHAnsi"/>
          <w:sz w:val="22"/>
          <w:szCs w:val="22"/>
          <w:lang w:val="en-GB"/>
        </w:rPr>
      </w:pPr>
      <w:r>
        <w:rPr>
          <w:rFonts w:asciiTheme="minorHAnsi" w:hAnsiTheme="minorHAnsi"/>
          <w:sz w:val="22"/>
          <w:szCs w:val="22"/>
        </w:rPr>
        <w:t xml:space="preserve">The </w:t>
      </w:r>
      <w:r>
        <w:rPr>
          <w:rFonts w:asciiTheme="minorHAnsi" w:hAnsiTheme="minorHAnsi"/>
          <w:b/>
          <w:bCs/>
          <w:sz w:val="22"/>
          <w:szCs w:val="22"/>
        </w:rPr>
        <w:t xml:space="preserve">Social Services and Wellbeing (Wales) Act 2014 </w:t>
      </w:r>
      <w:r>
        <w:rPr>
          <w:rFonts w:asciiTheme="minorHAnsi" w:hAnsiTheme="minorHAnsi"/>
          <w:sz w:val="22"/>
          <w:szCs w:val="22"/>
        </w:rPr>
        <w:t xml:space="preserve">provides the legislative framework for care and support in Wales. The Act aims to </w:t>
      </w:r>
      <w:r>
        <w:rPr>
          <w:rFonts w:asciiTheme="minorHAnsi" w:hAnsiTheme="minorHAnsi"/>
          <w:sz w:val="22"/>
          <w:szCs w:val="22"/>
          <w:lang w:val="en-GB"/>
        </w:rPr>
        <w:t xml:space="preserve">improve </w:t>
      </w:r>
      <w:r w:rsidRPr="00A36556">
        <w:rPr>
          <w:rFonts w:asciiTheme="minorHAnsi" w:hAnsiTheme="minorHAnsi"/>
          <w:sz w:val="22"/>
          <w:szCs w:val="22"/>
          <w:lang w:val="en-GB"/>
        </w:rPr>
        <w:t>the well-being of people who need care and support, and carers who need support, and for transforming the way in which services are commissioned and delivered.</w:t>
      </w:r>
      <w:r>
        <w:rPr>
          <w:rFonts w:asciiTheme="minorHAnsi" w:hAnsiTheme="minorHAnsi"/>
          <w:sz w:val="22"/>
          <w:szCs w:val="22"/>
          <w:lang w:val="en-GB"/>
        </w:rPr>
        <w:t xml:space="preserve"> The Act requires local authorities and local health boards to establish</w:t>
      </w:r>
      <w:r w:rsidRPr="00A36556">
        <w:rPr>
          <w:rFonts w:asciiTheme="minorHAnsi" w:hAnsiTheme="minorHAnsi"/>
          <w:b/>
          <w:bCs/>
          <w:sz w:val="22"/>
          <w:szCs w:val="22"/>
          <w:lang w:val="en-GB"/>
        </w:rPr>
        <w:t xml:space="preserve"> Regional Partnership Boards (RPBs)</w:t>
      </w:r>
      <w:r>
        <w:rPr>
          <w:rFonts w:asciiTheme="minorHAnsi" w:hAnsiTheme="minorHAnsi"/>
          <w:sz w:val="22"/>
          <w:szCs w:val="22"/>
          <w:lang w:val="en-GB"/>
        </w:rPr>
        <w:t xml:space="preserve"> </w:t>
      </w:r>
      <w:r w:rsidRPr="00A36556">
        <w:rPr>
          <w:rFonts w:asciiTheme="minorHAnsi" w:hAnsiTheme="minorHAnsi"/>
          <w:sz w:val="22"/>
          <w:szCs w:val="22"/>
          <w:lang w:val="en-GB"/>
        </w:rPr>
        <w:t xml:space="preserve">to manage and develop services to secure strategic planning and partnership working and to ensure effective services, care and support are in place to best meet the needs of their respective population. </w:t>
      </w:r>
    </w:p>
    <w:p w:rsidR="0089216C" w:rsidRDefault="0089216C" w:rsidP="0089216C">
      <w:pPr>
        <w:pStyle w:val="BodyText"/>
        <w:ind w:left="0"/>
        <w:rPr>
          <w:rFonts w:asciiTheme="minorHAnsi" w:hAnsiTheme="minorHAnsi"/>
          <w:sz w:val="22"/>
          <w:szCs w:val="22"/>
          <w:lang w:val="en-GB"/>
        </w:rPr>
      </w:pPr>
    </w:p>
    <w:p w:rsidR="0089216C" w:rsidRPr="00A36556" w:rsidRDefault="0089216C" w:rsidP="0089216C">
      <w:pPr>
        <w:pStyle w:val="BodyText"/>
        <w:ind w:left="0"/>
        <w:rPr>
          <w:rFonts w:asciiTheme="minorHAnsi" w:hAnsiTheme="minorHAnsi"/>
          <w:sz w:val="22"/>
          <w:szCs w:val="22"/>
        </w:rPr>
      </w:pPr>
      <w:r>
        <w:rPr>
          <w:rFonts w:asciiTheme="minorHAnsi" w:hAnsiTheme="minorHAnsi"/>
          <w:sz w:val="22"/>
          <w:szCs w:val="22"/>
          <w:lang w:val="en-GB"/>
        </w:rPr>
        <w:t xml:space="preserve">The Act also focused on Safeguarding arrangements, placing duties on relevant devolved partners to ensure arrangements are in place for ‘children at risk’ and ‘adults at risk’, which includes abuse and neglect. The Act places duties on six </w:t>
      </w:r>
      <w:r>
        <w:rPr>
          <w:rFonts w:asciiTheme="minorHAnsi" w:hAnsiTheme="minorHAnsi"/>
          <w:b/>
          <w:bCs/>
          <w:sz w:val="22"/>
          <w:szCs w:val="22"/>
          <w:lang w:val="en-GB"/>
        </w:rPr>
        <w:t>Regional Safeguarding Boards</w:t>
      </w:r>
      <w:r>
        <w:rPr>
          <w:rFonts w:asciiTheme="minorHAnsi" w:hAnsiTheme="minorHAnsi"/>
          <w:sz w:val="22"/>
          <w:szCs w:val="22"/>
          <w:lang w:val="en-GB"/>
        </w:rPr>
        <w:t xml:space="preserve"> to be</w:t>
      </w:r>
      <w:r w:rsidRPr="00C42F3F">
        <w:rPr>
          <w:rFonts w:asciiTheme="minorHAnsi" w:hAnsiTheme="minorHAnsi"/>
          <w:sz w:val="22"/>
          <w:szCs w:val="22"/>
          <w:lang w:val="en-GB"/>
        </w:rPr>
        <w:t> responsible for making sure safeguarding is at the core of all services provided across the region</w:t>
      </w:r>
      <w:r>
        <w:rPr>
          <w:rFonts w:asciiTheme="minorHAnsi" w:hAnsiTheme="minorHAnsi"/>
          <w:sz w:val="22"/>
          <w:szCs w:val="22"/>
          <w:lang w:val="en-GB"/>
        </w:rPr>
        <w:t>.</w:t>
      </w:r>
      <w:r w:rsidRPr="00C42F3F">
        <w:rPr>
          <w:rFonts w:asciiTheme="minorHAnsi" w:hAnsiTheme="minorHAnsi"/>
          <w:sz w:val="22"/>
          <w:szCs w:val="22"/>
          <w:lang w:val="en-GB"/>
        </w:rPr>
        <w:t> </w:t>
      </w:r>
      <w:r>
        <w:rPr>
          <w:rFonts w:asciiTheme="minorHAnsi" w:hAnsiTheme="minorHAnsi"/>
          <w:sz w:val="22"/>
          <w:szCs w:val="22"/>
          <w:lang w:val="en-GB"/>
        </w:rPr>
        <w:t xml:space="preserve"> </w:t>
      </w:r>
    </w:p>
    <w:p w:rsidR="0089216C" w:rsidRDefault="0089216C" w:rsidP="0089216C">
      <w:pPr>
        <w:pStyle w:val="BodyText"/>
        <w:ind w:left="0"/>
        <w:rPr>
          <w:rFonts w:asciiTheme="minorHAnsi" w:hAnsiTheme="minorHAnsi"/>
          <w:sz w:val="22"/>
          <w:szCs w:val="22"/>
        </w:rPr>
      </w:pPr>
    </w:p>
    <w:p w:rsidR="0089216C" w:rsidRPr="002E39CB" w:rsidRDefault="0089216C" w:rsidP="0089216C">
      <w:pPr>
        <w:pStyle w:val="BodyText"/>
        <w:ind w:left="0"/>
        <w:rPr>
          <w:rFonts w:asciiTheme="minorHAnsi" w:hAnsiTheme="minorHAnsi"/>
          <w:sz w:val="22"/>
          <w:szCs w:val="22"/>
          <w:lang w:val="en-GB"/>
        </w:rPr>
      </w:pPr>
      <w:r>
        <w:rPr>
          <w:rFonts w:asciiTheme="minorHAnsi" w:hAnsiTheme="minorHAnsi"/>
          <w:sz w:val="22"/>
          <w:szCs w:val="22"/>
        </w:rPr>
        <w:t xml:space="preserve">The </w:t>
      </w:r>
      <w:r>
        <w:rPr>
          <w:rFonts w:asciiTheme="minorHAnsi" w:hAnsiTheme="minorHAnsi"/>
          <w:b/>
          <w:bCs/>
          <w:sz w:val="22"/>
          <w:szCs w:val="22"/>
        </w:rPr>
        <w:t xml:space="preserve">Violence Against Women, Domestic Abuse and Sexual Violence (Wales) Act 2015 </w:t>
      </w:r>
      <w:r w:rsidRPr="007A7B50">
        <w:rPr>
          <w:rFonts w:asciiTheme="minorHAnsi" w:hAnsiTheme="minorHAnsi"/>
          <w:sz w:val="22"/>
          <w:szCs w:val="22"/>
        </w:rPr>
        <w:t>placed a duty on</w:t>
      </w:r>
      <w:r>
        <w:rPr>
          <w:rFonts w:asciiTheme="minorHAnsi" w:hAnsiTheme="minorHAnsi"/>
          <w:sz w:val="22"/>
          <w:szCs w:val="22"/>
        </w:rPr>
        <w:t xml:space="preserve"> Welsh Government, local authorities and local health boards to improve </w:t>
      </w:r>
      <w:r w:rsidRPr="00A36556">
        <w:rPr>
          <w:rFonts w:asciiTheme="minorHAnsi" w:hAnsiTheme="minorHAnsi"/>
          <w:sz w:val="22"/>
          <w:szCs w:val="22"/>
          <w:lang w:val="en-GB"/>
        </w:rPr>
        <w:t>arrangements for the prevention of gender-based violence, domestic abuse and sexual violence; arrangements for the protection of victims of gender-based violence, domestic abuse and sexual violence; and support for people affected by gender-based violence, domestic abuse and sexual violence.</w:t>
      </w:r>
      <w:r>
        <w:rPr>
          <w:rFonts w:asciiTheme="minorHAnsi" w:hAnsiTheme="minorHAnsi"/>
          <w:sz w:val="22"/>
          <w:szCs w:val="22"/>
          <w:lang w:val="en-GB"/>
        </w:rPr>
        <w:t xml:space="preserve"> The Act created a new framework for delivery including the </w:t>
      </w:r>
      <w:r>
        <w:rPr>
          <w:rFonts w:asciiTheme="minorHAnsi" w:hAnsiTheme="minorHAnsi"/>
          <w:b/>
          <w:bCs/>
          <w:sz w:val="22"/>
          <w:szCs w:val="22"/>
          <w:lang w:val="en-GB"/>
        </w:rPr>
        <w:t>Gwent VAWDASV Board</w:t>
      </w:r>
      <w:r>
        <w:rPr>
          <w:rFonts w:asciiTheme="minorHAnsi" w:hAnsiTheme="minorHAnsi"/>
          <w:sz w:val="22"/>
          <w:szCs w:val="22"/>
          <w:lang w:val="en-GB"/>
        </w:rPr>
        <w:t xml:space="preserve"> and lead advisor. </w:t>
      </w:r>
    </w:p>
    <w:p w:rsidR="0089216C" w:rsidRDefault="0089216C" w:rsidP="0089216C">
      <w:pPr>
        <w:pStyle w:val="BodyText"/>
        <w:ind w:left="0"/>
        <w:rPr>
          <w:rFonts w:asciiTheme="minorHAnsi" w:hAnsiTheme="minorHAnsi"/>
          <w:sz w:val="22"/>
          <w:szCs w:val="22"/>
          <w:lang w:val="en-GB"/>
        </w:rPr>
      </w:pPr>
    </w:p>
    <w:p w:rsidR="0089216C" w:rsidRDefault="0089216C" w:rsidP="0089216C">
      <w:pPr>
        <w:pStyle w:val="BodyText"/>
        <w:ind w:left="0"/>
        <w:rPr>
          <w:rFonts w:asciiTheme="minorHAnsi" w:hAnsiTheme="minorHAnsi"/>
          <w:sz w:val="22"/>
          <w:szCs w:val="22"/>
          <w:lang w:val="en-GB"/>
        </w:rPr>
      </w:pPr>
      <w:r w:rsidRPr="005D574E">
        <w:rPr>
          <w:rFonts w:asciiTheme="minorHAnsi" w:hAnsiTheme="minorHAnsi"/>
          <w:sz w:val="22"/>
          <w:szCs w:val="22"/>
          <w:lang w:val="en-GB"/>
        </w:rPr>
        <w:t xml:space="preserve">The </w:t>
      </w:r>
      <w:r w:rsidRPr="005D574E">
        <w:rPr>
          <w:rFonts w:asciiTheme="minorHAnsi" w:hAnsiTheme="minorHAnsi"/>
          <w:b/>
          <w:bCs/>
          <w:sz w:val="22"/>
          <w:szCs w:val="22"/>
          <w:lang w:val="en-GB"/>
        </w:rPr>
        <w:t>Well-being of Future Generations (Wales) Act 2015</w:t>
      </w:r>
      <w:r w:rsidRPr="005D574E">
        <w:rPr>
          <w:rFonts w:asciiTheme="minorHAnsi" w:hAnsiTheme="minorHAnsi"/>
          <w:sz w:val="22"/>
          <w:szCs w:val="22"/>
          <w:lang w:val="en-GB"/>
        </w:rPr>
        <w:t xml:space="preserve"> </w:t>
      </w:r>
      <w:r>
        <w:rPr>
          <w:rFonts w:asciiTheme="minorHAnsi" w:hAnsiTheme="minorHAnsi"/>
          <w:sz w:val="22"/>
          <w:szCs w:val="22"/>
          <w:lang w:val="en-GB"/>
        </w:rPr>
        <w:t>aims to improve</w:t>
      </w:r>
      <w:r w:rsidRPr="005D574E">
        <w:rPr>
          <w:rFonts w:asciiTheme="minorHAnsi" w:hAnsiTheme="minorHAnsi"/>
          <w:sz w:val="22"/>
          <w:szCs w:val="22"/>
          <w:lang w:val="en-GB"/>
        </w:rPr>
        <w:t xml:space="preserve"> the social, economic, environmental and cultural well-being of Wales. The Act puts in place seven well-being goals. Each public body listed in the Act must work to improve the economic, social, environmental and cultural well-being of Wales. To do this they must set and publish well-being objectives. The Act also requires public bodies to act in accordance with ‘the sustainable development principle’. This means that public bodies must act in a manner which seeks to ensure that the needs of the present are met without compromising the ability of future generations to meet their own needs. The Act also establishe</w:t>
      </w:r>
      <w:r>
        <w:rPr>
          <w:rFonts w:asciiTheme="minorHAnsi" w:hAnsiTheme="minorHAnsi"/>
          <w:sz w:val="22"/>
          <w:szCs w:val="22"/>
          <w:lang w:val="en-GB"/>
        </w:rPr>
        <w:t>d</w:t>
      </w:r>
      <w:r w:rsidRPr="005D574E">
        <w:rPr>
          <w:rFonts w:asciiTheme="minorHAnsi" w:hAnsiTheme="minorHAnsi"/>
          <w:sz w:val="22"/>
          <w:szCs w:val="22"/>
          <w:lang w:val="en-GB"/>
        </w:rPr>
        <w:t xml:space="preserve"> </w:t>
      </w:r>
      <w:r w:rsidRPr="005D574E">
        <w:rPr>
          <w:rFonts w:asciiTheme="minorHAnsi" w:hAnsiTheme="minorHAnsi"/>
          <w:b/>
          <w:bCs/>
          <w:sz w:val="22"/>
          <w:szCs w:val="22"/>
          <w:lang w:val="en-GB"/>
        </w:rPr>
        <w:t>Public Services Boards (PSBs)</w:t>
      </w:r>
      <w:r w:rsidRPr="005D574E">
        <w:rPr>
          <w:rFonts w:asciiTheme="minorHAnsi" w:hAnsiTheme="minorHAnsi"/>
          <w:sz w:val="22"/>
          <w:szCs w:val="22"/>
          <w:lang w:val="en-GB"/>
        </w:rPr>
        <w:t xml:space="preserve"> for each local authority area in Wales and imposes a duty on PSBs to improve the economic, social, environmental and cultural well-being of its area by contributing to the achievement of the well-being goals.</w:t>
      </w:r>
    </w:p>
    <w:p w:rsidR="0089216C" w:rsidRDefault="0089216C" w:rsidP="0089216C">
      <w:pPr>
        <w:pStyle w:val="BodyText"/>
        <w:ind w:left="0"/>
        <w:rPr>
          <w:rFonts w:asciiTheme="minorHAnsi" w:hAnsiTheme="minorHAnsi"/>
          <w:sz w:val="22"/>
          <w:szCs w:val="22"/>
          <w:lang w:val="en-GB"/>
        </w:rPr>
      </w:pPr>
    </w:p>
    <w:p w:rsidR="0089216C" w:rsidRDefault="0089216C" w:rsidP="0089216C">
      <w:pPr>
        <w:pStyle w:val="BodyText"/>
        <w:ind w:left="0"/>
        <w:rPr>
          <w:rFonts w:asciiTheme="minorHAnsi" w:hAnsiTheme="minorHAnsi"/>
          <w:b/>
          <w:bCs/>
          <w:sz w:val="22"/>
          <w:szCs w:val="22"/>
          <w:lang w:val="en-GB"/>
        </w:rPr>
      </w:pPr>
      <w:r>
        <w:rPr>
          <w:rFonts w:asciiTheme="minorHAnsi" w:hAnsiTheme="minorHAnsi"/>
          <w:b/>
          <w:bCs/>
          <w:sz w:val="22"/>
          <w:szCs w:val="22"/>
          <w:lang w:val="en-GB"/>
        </w:rPr>
        <w:t xml:space="preserve">Position in Gwent </w:t>
      </w:r>
    </w:p>
    <w:p w:rsidR="0089216C" w:rsidRDefault="0089216C" w:rsidP="0089216C">
      <w:pPr>
        <w:pStyle w:val="BodyText"/>
        <w:ind w:left="0"/>
        <w:rPr>
          <w:rFonts w:asciiTheme="minorHAnsi" w:hAnsiTheme="minorHAnsi"/>
          <w:b/>
          <w:bCs/>
          <w:sz w:val="22"/>
          <w:szCs w:val="22"/>
          <w:lang w:val="en-GB"/>
        </w:rPr>
      </w:pPr>
    </w:p>
    <w:p w:rsidR="0089216C" w:rsidRDefault="0089216C" w:rsidP="0089216C">
      <w:pPr>
        <w:pStyle w:val="BodyText"/>
        <w:ind w:left="0"/>
        <w:rPr>
          <w:rFonts w:asciiTheme="minorHAnsi" w:hAnsiTheme="minorHAnsi"/>
          <w:b/>
          <w:bCs/>
          <w:sz w:val="22"/>
          <w:szCs w:val="22"/>
          <w:lang w:val="en-GB"/>
        </w:rPr>
      </w:pPr>
      <w:r>
        <w:rPr>
          <w:rFonts w:asciiTheme="minorHAnsi" w:hAnsiTheme="minorHAnsi"/>
          <w:b/>
          <w:bCs/>
          <w:sz w:val="22"/>
          <w:szCs w:val="22"/>
          <w:lang w:val="en-GB"/>
        </w:rPr>
        <w:t>In Gwent, to manage the complexity of both UK and Welsh legislation there now exists:</w:t>
      </w:r>
    </w:p>
    <w:p w:rsidR="0089216C" w:rsidRDefault="0089216C" w:rsidP="0089216C">
      <w:pPr>
        <w:pStyle w:val="BodyText"/>
        <w:numPr>
          <w:ilvl w:val="0"/>
          <w:numId w:val="15"/>
        </w:numPr>
        <w:rPr>
          <w:rFonts w:asciiTheme="minorHAnsi" w:hAnsiTheme="minorHAnsi"/>
          <w:sz w:val="22"/>
          <w:szCs w:val="22"/>
          <w:lang w:val="en-GB"/>
        </w:rPr>
      </w:pPr>
      <w:r>
        <w:rPr>
          <w:rFonts w:asciiTheme="minorHAnsi" w:hAnsiTheme="minorHAnsi"/>
          <w:sz w:val="22"/>
          <w:szCs w:val="22"/>
          <w:lang w:val="en-GB"/>
        </w:rPr>
        <w:t xml:space="preserve">A </w:t>
      </w:r>
      <w:r w:rsidRPr="00837D9E">
        <w:rPr>
          <w:rFonts w:asciiTheme="minorHAnsi" w:hAnsiTheme="minorHAnsi"/>
          <w:sz w:val="22"/>
          <w:szCs w:val="22"/>
          <w:lang w:val="en-GB"/>
        </w:rPr>
        <w:t>regional Public Service Board, established in 2022. Each local authority area retains a ‘Local Delivery Group’ since the PSB was regionalised and the regional PSB is supported by an officer level Gwent Strategic Wellbeing Action Group (GSWAG).</w:t>
      </w:r>
    </w:p>
    <w:p w:rsidR="0089216C" w:rsidRPr="00837D9E" w:rsidRDefault="0089216C" w:rsidP="0089216C">
      <w:pPr>
        <w:pStyle w:val="BodyText"/>
        <w:numPr>
          <w:ilvl w:val="0"/>
          <w:numId w:val="15"/>
        </w:numPr>
        <w:rPr>
          <w:rFonts w:asciiTheme="minorHAnsi" w:hAnsiTheme="minorHAnsi"/>
          <w:sz w:val="22"/>
          <w:szCs w:val="22"/>
          <w:lang w:val="en-GB"/>
        </w:rPr>
      </w:pPr>
      <w:r>
        <w:rPr>
          <w:rFonts w:asciiTheme="minorHAnsi" w:hAnsiTheme="minorHAnsi"/>
          <w:sz w:val="22"/>
          <w:szCs w:val="22"/>
          <w:lang w:val="en-GB"/>
        </w:rPr>
        <w:t>A Regional Partnership Board, which includes statutory bodies set out in the Act, but does not include invited devolved partners like the Police or PCC.</w:t>
      </w:r>
      <w:r w:rsidRPr="00837D9E">
        <w:rPr>
          <w:rFonts w:asciiTheme="minorHAnsi" w:hAnsiTheme="minorHAnsi"/>
          <w:sz w:val="22"/>
          <w:szCs w:val="22"/>
          <w:lang w:val="en-GB"/>
        </w:rPr>
        <w:t xml:space="preserve"> </w:t>
      </w:r>
    </w:p>
    <w:p w:rsidR="0089216C" w:rsidRPr="00837D9E" w:rsidRDefault="0089216C" w:rsidP="0089216C">
      <w:pPr>
        <w:pStyle w:val="BodyText"/>
        <w:numPr>
          <w:ilvl w:val="0"/>
          <w:numId w:val="15"/>
        </w:numPr>
        <w:rPr>
          <w:rFonts w:asciiTheme="minorHAnsi" w:hAnsiTheme="minorHAnsi"/>
          <w:sz w:val="22"/>
          <w:szCs w:val="22"/>
          <w:lang w:val="en-GB"/>
        </w:rPr>
      </w:pPr>
      <w:r>
        <w:rPr>
          <w:rFonts w:asciiTheme="minorHAnsi" w:hAnsiTheme="minorHAnsi"/>
          <w:sz w:val="22"/>
          <w:szCs w:val="22"/>
          <w:lang w:val="en-GB"/>
        </w:rPr>
        <w:t>The</w:t>
      </w:r>
      <w:r w:rsidRPr="00837D9E">
        <w:rPr>
          <w:rFonts w:asciiTheme="minorHAnsi" w:hAnsiTheme="minorHAnsi"/>
          <w:sz w:val="22"/>
          <w:szCs w:val="22"/>
          <w:lang w:val="en-GB"/>
        </w:rPr>
        <w:t xml:space="preserve"> Area Planning Board (with subgroups), bringing all the relevant statutory partners (Wales) plus non-devolved agencies including Police, PCC and Probation Service</w:t>
      </w:r>
    </w:p>
    <w:p w:rsidR="0089216C" w:rsidRPr="00837D9E" w:rsidRDefault="0089216C" w:rsidP="0089216C">
      <w:pPr>
        <w:pStyle w:val="BodyText"/>
        <w:numPr>
          <w:ilvl w:val="0"/>
          <w:numId w:val="15"/>
        </w:numPr>
        <w:rPr>
          <w:rFonts w:asciiTheme="minorHAnsi" w:hAnsiTheme="minorHAnsi"/>
          <w:sz w:val="22"/>
          <w:szCs w:val="22"/>
          <w:lang w:val="en-GB"/>
        </w:rPr>
      </w:pPr>
      <w:r>
        <w:rPr>
          <w:rFonts w:asciiTheme="minorHAnsi" w:hAnsiTheme="minorHAnsi"/>
          <w:sz w:val="22"/>
          <w:szCs w:val="22"/>
          <w:lang w:val="en-GB"/>
        </w:rPr>
        <w:t>The</w:t>
      </w:r>
      <w:r w:rsidRPr="00837D9E">
        <w:rPr>
          <w:rFonts w:asciiTheme="minorHAnsi" w:hAnsiTheme="minorHAnsi"/>
          <w:sz w:val="22"/>
          <w:szCs w:val="22"/>
          <w:lang w:val="en-GB"/>
        </w:rPr>
        <w:t xml:space="preserve"> VAWDASV Board (with subgroups), which includes relevant Welsh statutory partners and includes Gwent Police</w:t>
      </w:r>
      <w:r>
        <w:rPr>
          <w:rFonts w:asciiTheme="minorHAnsi" w:hAnsiTheme="minorHAnsi"/>
          <w:sz w:val="22"/>
          <w:szCs w:val="22"/>
          <w:lang w:val="en-GB"/>
        </w:rPr>
        <w:t xml:space="preserve">, </w:t>
      </w:r>
      <w:r w:rsidRPr="00837D9E">
        <w:rPr>
          <w:rFonts w:asciiTheme="minorHAnsi" w:hAnsiTheme="minorHAnsi"/>
          <w:sz w:val="22"/>
          <w:szCs w:val="22"/>
          <w:lang w:val="en-GB"/>
        </w:rPr>
        <w:t>PCC</w:t>
      </w:r>
      <w:r>
        <w:rPr>
          <w:rFonts w:asciiTheme="minorHAnsi" w:hAnsiTheme="minorHAnsi"/>
          <w:sz w:val="22"/>
          <w:szCs w:val="22"/>
          <w:lang w:val="en-GB"/>
        </w:rPr>
        <w:t xml:space="preserve"> and Probation Service</w:t>
      </w:r>
      <w:r w:rsidRPr="00837D9E">
        <w:rPr>
          <w:rFonts w:asciiTheme="minorHAnsi" w:hAnsiTheme="minorHAnsi"/>
          <w:sz w:val="22"/>
          <w:szCs w:val="22"/>
          <w:lang w:val="en-GB"/>
        </w:rPr>
        <w:t xml:space="preserve">. </w:t>
      </w:r>
    </w:p>
    <w:p w:rsidR="0089216C" w:rsidRDefault="0089216C" w:rsidP="0089216C">
      <w:pPr>
        <w:pStyle w:val="BodyText"/>
        <w:numPr>
          <w:ilvl w:val="0"/>
          <w:numId w:val="15"/>
        </w:numPr>
        <w:rPr>
          <w:rFonts w:asciiTheme="minorHAnsi" w:hAnsiTheme="minorHAnsi"/>
          <w:sz w:val="22"/>
          <w:szCs w:val="22"/>
          <w:lang w:val="en-GB"/>
        </w:rPr>
      </w:pPr>
      <w:r>
        <w:rPr>
          <w:rFonts w:asciiTheme="minorHAnsi" w:hAnsiTheme="minorHAnsi"/>
          <w:sz w:val="22"/>
          <w:szCs w:val="22"/>
          <w:lang w:val="en-GB"/>
        </w:rPr>
        <w:t>The</w:t>
      </w:r>
      <w:r w:rsidRPr="00837D9E">
        <w:rPr>
          <w:rFonts w:asciiTheme="minorHAnsi" w:hAnsiTheme="minorHAnsi"/>
          <w:sz w:val="22"/>
          <w:szCs w:val="22"/>
          <w:lang w:val="en-GB"/>
        </w:rPr>
        <w:t xml:space="preserve"> Safeguarding Board</w:t>
      </w:r>
      <w:r>
        <w:rPr>
          <w:rFonts w:asciiTheme="minorHAnsi" w:hAnsiTheme="minorHAnsi"/>
          <w:sz w:val="22"/>
          <w:szCs w:val="22"/>
          <w:lang w:val="en-GB"/>
        </w:rPr>
        <w:t xml:space="preserve"> with all statutory partners (UK and Wales)</w:t>
      </w:r>
      <w:r w:rsidRPr="00837D9E">
        <w:rPr>
          <w:rFonts w:asciiTheme="minorHAnsi" w:hAnsiTheme="minorHAnsi"/>
          <w:sz w:val="22"/>
          <w:szCs w:val="22"/>
          <w:lang w:val="en-GB"/>
        </w:rPr>
        <w:t xml:space="preserve">, which acts as the Gwent-wide Adult Safeguarding Board and </w:t>
      </w:r>
      <w:proofErr w:type="gramStart"/>
      <w:r w:rsidRPr="00837D9E">
        <w:rPr>
          <w:rFonts w:asciiTheme="minorHAnsi" w:hAnsiTheme="minorHAnsi"/>
          <w:sz w:val="22"/>
          <w:szCs w:val="22"/>
          <w:lang w:val="en-GB"/>
        </w:rPr>
        <w:t>South East</w:t>
      </w:r>
      <w:proofErr w:type="gramEnd"/>
      <w:r w:rsidRPr="00837D9E">
        <w:rPr>
          <w:rFonts w:asciiTheme="minorHAnsi" w:hAnsiTheme="minorHAnsi"/>
          <w:sz w:val="22"/>
          <w:szCs w:val="22"/>
          <w:lang w:val="en-GB"/>
        </w:rPr>
        <w:t xml:space="preserve"> Wales Safeguarding Children Board. The Safeguarding Board also has a number of </w:t>
      </w:r>
      <w:proofErr w:type="gramStart"/>
      <w:r w:rsidRPr="00837D9E">
        <w:rPr>
          <w:rFonts w:asciiTheme="minorHAnsi" w:hAnsiTheme="minorHAnsi"/>
          <w:sz w:val="22"/>
          <w:szCs w:val="22"/>
          <w:lang w:val="en-GB"/>
        </w:rPr>
        <w:t>subgroups</w:t>
      </w:r>
      <w:proofErr w:type="gramEnd"/>
      <w:r w:rsidRPr="00837D9E">
        <w:rPr>
          <w:rFonts w:asciiTheme="minorHAnsi" w:hAnsiTheme="minorHAnsi"/>
          <w:sz w:val="22"/>
          <w:szCs w:val="22"/>
          <w:lang w:val="en-GB"/>
        </w:rPr>
        <w:t xml:space="preserve"> and each local authority area has a Local Safeguarding Network</w:t>
      </w:r>
    </w:p>
    <w:p w:rsidR="0089216C" w:rsidRDefault="0089216C" w:rsidP="0089216C">
      <w:pPr>
        <w:pStyle w:val="BodyText"/>
        <w:numPr>
          <w:ilvl w:val="0"/>
          <w:numId w:val="15"/>
        </w:numPr>
        <w:rPr>
          <w:rFonts w:asciiTheme="minorHAnsi" w:hAnsiTheme="minorHAnsi"/>
          <w:sz w:val="22"/>
          <w:szCs w:val="22"/>
          <w:lang w:val="en-GB"/>
        </w:rPr>
      </w:pPr>
      <w:r>
        <w:rPr>
          <w:rFonts w:asciiTheme="minorHAnsi" w:hAnsiTheme="minorHAnsi"/>
          <w:sz w:val="22"/>
          <w:szCs w:val="22"/>
          <w:lang w:val="en-GB"/>
        </w:rPr>
        <w:t xml:space="preserve">Five Community Safety Partnerships, which include </w:t>
      </w:r>
      <w:proofErr w:type="gramStart"/>
      <w:r>
        <w:rPr>
          <w:rFonts w:asciiTheme="minorHAnsi" w:hAnsiTheme="minorHAnsi"/>
          <w:sz w:val="22"/>
          <w:szCs w:val="22"/>
          <w:lang w:val="en-GB"/>
        </w:rPr>
        <w:t>all of</w:t>
      </w:r>
      <w:proofErr w:type="gramEnd"/>
      <w:r>
        <w:rPr>
          <w:rFonts w:asciiTheme="minorHAnsi" w:hAnsiTheme="minorHAnsi"/>
          <w:sz w:val="22"/>
          <w:szCs w:val="22"/>
          <w:lang w:val="en-GB"/>
        </w:rPr>
        <w:t xml:space="preserve"> the relevant statutory partners plus invited attendees such as the PCC and the third sector – each CSP has a variety of subgroups based on local need </w:t>
      </w:r>
    </w:p>
    <w:p w:rsidR="0089216C" w:rsidRDefault="0089216C" w:rsidP="0089216C">
      <w:pPr>
        <w:pStyle w:val="BodyText"/>
        <w:numPr>
          <w:ilvl w:val="0"/>
          <w:numId w:val="15"/>
        </w:numPr>
        <w:rPr>
          <w:rFonts w:asciiTheme="minorHAnsi" w:hAnsiTheme="minorHAnsi"/>
          <w:sz w:val="22"/>
          <w:szCs w:val="22"/>
          <w:lang w:val="en-GB"/>
        </w:rPr>
      </w:pPr>
      <w:r>
        <w:rPr>
          <w:rFonts w:asciiTheme="minorHAnsi" w:hAnsiTheme="minorHAnsi"/>
          <w:sz w:val="22"/>
          <w:szCs w:val="22"/>
          <w:lang w:val="en-GB"/>
        </w:rPr>
        <w:t>The Gwent Strategic Criminal Justice Board, chaired by the PCC and bringing together relevant criminal justice agencies, plus connecting to local authorities and devolved partners</w:t>
      </w:r>
      <w:r w:rsidRPr="00837D9E">
        <w:rPr>
          <w:rFonts w:asciiTheme="minorHAnsi" w:hAnsiTheme="minorHAnsi"/>
          <w:sz w:val="22"/>
          <w:szCs w:val="22"/>
          <w:lang w:val="en-GB"/>
        </w:rPr>
        <w:t xml:space="preserve"> </w:t>
      </w:r>
    </w:p>
    <w:p w:rsidR="0089216C" w:rsidRPr="00837D9E" w:rsidRDefault="0089216C" w:rsidP="0089216C">
      <w:pPr>
        <w:pStyle w:val="BodyText"/>
        <w:numPr>
          <w:ilvl w:val="0"/>
          <w:numId w:val="15"/>
        </w:numPr>
        <w:rPr>
          <w:rFonts w:asciiTheme="minorHAnsi" w:hAnsiTheme="minorHAnsi"/>
          <w:sz w:val="22"/>
          <w:szCs w:val="22"/>
        </w:rPr>
      </w:pPr>
      <w:r>
        <w:rPr>
          <w:rFonts w:asciiTheme="minorHAnsi" w:hAnsiTheme="minorHAnsi"/>
          <w:sz w:val="22"/>
          <w:szCs w:val="22"/>
        </w:rPr>
        <w:t xml:space="preserve">The temporary </w:t>
      </w:r>
      <w:r w:rsidRPr="007929E3">
        <w:rPr>
          <w:rFonts w:asciiTheme="minorHAnsi" w:hAnsiTheme="minorHAnsi"/>
          <w:sz w:val="22"/>
          <w:szCs w:val="22"/>
        </w:rPr>
        <w:t>Gwent Serious Violence Duty Partnership Working Group works</w:t>
      </w:r>
      <w:r>
        <w:rPr>
          <w:rFonts w:asciiTheme="minorHAnsi" w:hAnsiTheme="minorHAnsi"/>
          <w:sz w:val="22"/>
          <w:szCs w:val="22"/>
        </w:rPr>
        <w:t xml:space="preserve"> on behalf of CSPs and the PCC to manage the bulk of the requirements under the Duty.   </w:t>
      </w:r>
    </w:p>
    <w:p w:rsidR="0089216C" w:rsidRDefault="0089216C" w:rsidP="0089216C">
      <w:pPr>
        <w:pStyle w:val="BodyText"/>
        <w:numPr>
          <w:ilvl w:val="0"/>
          <w:numId w:val="15"/>
        </w:numPr>
        <w:rPr>
          <w:rFonts w:asciiTheme="minorHAnsi" w:hAnsiTheme="minorHAnsi"/>
          <w:sz w:val="22"/>
          <w:szCs w:val="22"/>
          <w:lang w:val="en-GB"/>
        </w:rPr>
      </w:pPr>
      <w:r>
        <w:rPr>
          <w:rFonts w:asciiTheme="minorHAnsi" w:hAnsiTheme="minorHAnsi"/>
          <w:sz w:val="22"/>
          <w:szCs w:val="22"/>
          <w:lang w:val="en-GB"/>
        </w:rPr>
        <w:t>The Gwent Contest Board bringing statutory partners together as described above</w:t>
      </w:r>
    </w:p>
    <w:p w:rsidR="0089216C" w:rsidRPr="00014E94" w:rsidRDefault="0089216C" w:rsidP="0089216C">
      <w:pPr>
        <w:pStyle w:val="BodyText"/>
        <w:numPr>
          <w:ilvl w:val="0"/>
          <w:numId w:val="15"/>
        </w:numPr>
        <w:rPr>
          <w:rFonts w:asciiTheme="minorHAnsi" w:hAnsiTheme="minorHAnsi"/>
          <w:sz w:val="22"/>
          <w:szCs w:val="22"/>
          <w:lang w:val="en-GB"/>
        </w:rPr>
      </w:pPr>
      <w:r w:rsidRPr="00014E94">
        <w:rPr>
          <w:rFonts w:asciiTheme="minorHAnsi" w:hAnsiTheme="minorHAnsi"/>
          <w:sz w:val="22"/>
          <w:szCs w:val="22"/>
          <w:lang w:val="en-GB"/>
        </w:rPr>
        <w:t xml:space="preserve">A new Gwent Serious Organised Crime Partnership, that brings together community safety partners to help tackle organised crime in local communities. </w:t>
      </w:r>
    </w:p>
    <w:p w:rsidR="0089216C" w:rsidRDefault="0089216C" w:rsidP="0089216C">
      <w:pPr>
        <w:pStyle w:val="BodyText"/>
        <w:ind w:left="0"/>
        <w:rPr>
          <w:rFonts w:asciiTheme="minorHAnsi" w:hAnsiTheme="minorHAnsi"/>
          <w:sz w:val="22"/>
          <w:szCs w:val="22"/>
          <w:lang w:val="en-GB"/>
        </w:rPr>
      </w:pPr>
    </w:p>
    <w:p w:rsidR="0089216C" w:rsidRDefault="0089216C" w:rsidP="0089216C">
      <w:pPr>
        <w:pStyle w:val="BodyText"/>
        <w:ind w:left="0"/>
        <w:rPr>
          <w:rFonts w:asciiTheme="minorHAnsi" w:hAnsiTheme="minorHAnsi"/>
          <w:sz w:val="22"/>
          <w:szCs w:val="22"/>
          <w:lang w:val="en-GB"/>
        </w:rPr>
      </w:pPr>
      <w:r>
        <w:rPr>
          <w:rFonts w:asciiTheme="minorHAnsi" w:hAnsiTheme="minorHAnsi"/>
          <w:sz w:val="22"/>
          <w:szCs w:val="22"/>
          <w:lang w:val="en-GB"/>
        </w:rPr>
        <w:t xml:space="preserve">To a greater or lesser extent, </w:t>
      </w:r>
      <w:proofErr w:type="gramStart"/>
      <w:r>
        <w:rPr>
          <w:rFonts w:asciiTheme="minorHAnsi" w:hAnsiTheme="minorHAnsi"/>
          <w:sz w:val="22"/>
          <w:szCs w:val="22"/>
          <w:lang w:val="en-GB"/>
        </w:rPr>
        <w:t>all of</w:t>
      </w:r>
      <w:proofErr w:type="gramEnd"/>
      <w:r>
        <w:rPr>
          <w:rFonts w:asciiTheme="minorHAnsi" w:hAnsiTheme="minorHAnsi"/>
          <w:sz w:val="22"/>
          <w:szCs w:val="22"/>
          <w:lang w:val="en-GB"/>
        </w:rPr>
        <w:t xml:space="preserve"> these partnerships are seeking to improve the health and safety of the people of Gwent. As part of their duties, each of these partnerships are required at various times to: undertake problem profiles, needs assessments and analysis of local populations and issues; develop strategies to tackle the issues identified; improve the core business and operational functions of members; fund and commission services and interventions in line with those strategies; and monitor these arrangements through various boards and meetings. There is considerable cross-over and duplication between </w:t>
      </w:r>
      <w:proofErr w:type="gramStart"/>
      <w:r>
        <w:rPr>
          <w:rFonts w:asciiTheme="minorHAnsi" w:hAnsiTheme="minorHAnsi"/>
          <w:sz w:val="22"/>
          <w:szCs w:val="22"/>
          <w:lang w:val="en-GB"/>
        </w:rPr>
        <w:t>all of</w:t>
      </w:r>
      <w:proofErr w:type="gramEnd"/>
      <w:r>
        <w:rPr>
          <w:rFonts w:asciiTheme="minorHAnsi" w:hAnsiTheme="minorHAnsi"/>
          <w:sz w:val="22"/>
          <w:szCs w:val="22"/>
          <w:lang w:val="en-GB"/>
        </w:rPr>
        <w:t xml:space="preserve"> these partnerships, priorities, workloads and the requirements placed on organisations to work within them. </w:t>
      </w:r>
    </w:p>
    <w:p w:rsidR="0089216C" w:rsidRDefault="0089216C" w:rsidP="0089216C">
      <w:pPr>
        <w:pStyle w:val="BodyText"/>
        <w:rPr>
          <w:rFonts w:asciiTheme="minorHAnsi" w:hAnsiTheme="minorHAnsi"/>
          <w:sz w:val="22"/>
          <w:szCs w:val="22"/>
          <w:lang w:val="en-GB"/>
        </w:rPr>
      </w:pPr>
    </w:p>
    <w:p w:rsidR="0089216C" w:rsidRPr="000F7F6E" w:rsidRDefault="0089216C" w:rsidP="0089216C">
      <w:pPr>
        <w:pStyle w:val="BodyText"/>
        <w:ind w:left="0"/>
        <w:rPr>
          <w:rFonts w:asciiTheme="minorHAnsi" w:hAnsiTheme="minorHAnsi"/>
          <w:sz w:val="22"/>
          <w:szCs w:val="22"/>
          <w:lang w:val="en-GB"/>
        </w:rPr>
      </w:pPr>
      <w:r>
        <w:rPr>
          <w:rFonts w:asciiTheme="minorHAnsi" w:hAnsiTheme="minorHAnsi"/>
          <w:sz w:val="22"/>
          <w:szCs w:val="22"/>
          <w:lang w:val="en-GB"/>
        </w:rPr>
        <w:t>As part of a review commissioned by the Gwent Public Service Board when it was established, it was agreed to establish a new mechanism to support these partnerships to undertake their statutory functions. The aims of this new mechanism are to</w:t>
      </w:r>
      <w:r w:rsidRPr="00095CB9">
        <w:rPr>
          <w:rFonts w:asciiTheme="minorHAnsi" w:hAnsiTheme="minorHAnsi"/>
          <w:sz w:val="22"/>
          <w:szCs w:val="22"/>
        </w:rPr>
        <w:t xml:space="preserve"> address concerns about the need for a more coordinated approach to some of these issues </w:t>
      </w:r>
      <w:r>
        <w:rPr>
          <w:rFonts w:asciiTheme="minorHAnsi" w:hAnsiTheme="minorHAnsi"/>
          <w:sz w:val="22"/>
          <w:szCs w:val="22"/>
        </w:rPr>
        <w:t>they face</w:t>
      </w:r>
      <w:r w:rsidRPr="00095CB9">
        <w:rPr>
          <w:rFonts w:asciiTheme="minorHAnsi" w:hAnsiTheme="minorHAnsi"/>
          <w:sz w:val="22"/>
          <w:szCs w:val="22"/>
        </w:rPr>
        <w:t>, reduce duplication of effort by ensuring links between different partnerships are e</w:t>
      </w:r>
      <w:r>
        <w:rPr>
          <w:rFonts w:asciiTheme="minorHAnsi" w:hAnsiTheme="minorHAnsi"/>
          <w:sz w:val="22"/>
          <w:szCs w:val="22"/>
        </w:rPr>
        <w:t>ffective and proportionate</w:t>
      </w:r>
      <w:r w:rsidRPr="00095CB9">
        <w:rPr>
          <w:rFonts w:asciiTheme="minorHAnsi" w:hAnsiTheme="minorHAnsi"/>
          <w:sz w:val="22"/>
          <w:szCs w:val="22"/>
        </w:rPr>
        <w:t xml:space="preserve">, and provide an escalation route for issues that individual partnerships cannot resolve in isolation. </w:t>
      </w:r>
    </w:p>
    <w:p w:rsidR="0089216C" w:rsidRPr="00093C2B" w:rsidRDefault="0089216C" w:rsidP="00093C2B"/>
    <w:sectPr w:rsidR="0089216C" w:rsidRPr="00093C2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043C" w:rsidRDefault="0041043C" w:rsidP="002327AF">
      <w:pPr>
        <w:spacing w:after="0" w:line="240" w:lineRule="auto"/>
      </w:pPr>
      <w:r>
        <w:separator/>
      </w:r>
    </w:p>
  </w:endnote>
  <w:endnote w:type="continuationSeparator" w:id="0">
    <w:p w:rsidR="0041043C" w:rsidRDefault="0041043C" w:rsidP="0023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298702"/>
      <w:docPartObj>
        <w:docPartGallery w:val="Page Numbers (Bottom of Page)"/>
        <w:docPartUnique/>
      </w:docPartObj>
    </w:sdtPr>
    <w:sdtContent>
      <w:p w:rsidR="002944E1" w:rsidRDefault="002944E1">
        <w:pPr>
          <w:pStyle w:val="Footer"/>
          <w:jc w:val="center"/>
        </w:pPr>
        <w:r>
          <w:fldChar w:fldCharType="begin"/>
        </w:r>
        <w:r>
          <w:instrText>PAGE   \* MERGEFORMAT</w:instrText>
        </w:r>
        <w:r>
          <w:fldChar w:fldCharType="separate"/>
        </w:r>
        <w:r>
          <w:t>2</w:t>
        </w:r>
        <w:r>
          <w:fldChar w:fldCharType="end"/>
        </w:r>
      </w:p>
    </w:sdtContent>
  </w:sdt>
  <w:p w:rsidR="00994717" w:rsidRDefault="0099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043C" w:rsidRDefault="0041043C" w:rsidP="002327AF">
      <w:pPr>
        <w:spacing w:after="0" w:line="240" w:lineRule="auto"/>
      </w:pPr>
      <w:r>
        <w:separator/>
      </w:r>
    </w:p>
  </w:footnote>
  <w:footnote w:type="continuationSeparator" w:id="0">
    <w:p w:rsidR="0041043C" w:rsidRDefault="0041043C" w:rsidP="0023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717" w:rsidRDefault="00002526">
    <w:pPr>
      <w:pStyle w:val="Header"/>
    </w:pPr>
    <w:r>
      <w:t>Draft v0.1</w:t>
    </w:r>
    <w:r>
      <w:ptab w:relativeTo="margin" w:alignment="center" w:leader="none"/>
    </w:r>
    <w:r>
      <w:t>NOT PROTECTIVELY MARKED</w:t>
    </w:r>
    <w:r>
      <w:ptab w:relativeTo="margin" w:alignment="right" w:leader="none"/>
    </w:r>
    <w:r>
      <w:t xml:space="preserve">Dated </w:t>
    </w:r>
    <w:r w:rsidR="00132C8C">
      <w:t>06/03</w:t>
    </w:r>
    <w:r>
      <w:t>/2025</w:t>
    </w:r>
    <w:sdt>
      <w:sdtPr>
        <w:id w:val="1852841401"/>
        <w:docPartObj>
          <w:docPartGallery w:val="Watermarks"/>
          <w:docPartUnique/>
        </w:docPartObj>
      </w:sdtPr>
      <w:sdtContent>
        <w:r w:rsidR="00000000">
          <w:pict w14:anchorId="13CBF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20A19"/>
    <w:multiLevelType w:val="hybridMultilevel"/>
    <w:tmpl w:val="8F1C8C22"/>
    <w:lvl w:ilvl="0" w:tplc="0EF06BBC">
      <w:numFmt w:val="bullet"/>
      <w:lvlText w:val="-"/>
      <w:lvlJc w:val="left"/>
      <w:pPr>
        <w:ind w:left="720" w:hanging="360"/>
      </w:pPr>
      <w:rPr>
        <w:rFonts w:ascii="Aptos" w:eastAsia="Arial"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D2CB0"/>
    <w:multiLevelType w:val="hybridMultilevel"/>
    <w:tmpl w:val="0CDEE3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D77EB"/>
    <w:multiLevelType w:val="hybridMultilevel"/>
    <w:tmpl w:val="7026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A7191"/>
    <w:multiLevelType w:val="hybridMultilevel"/>
    <w:tmpl w:val="40267E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91400"/>
    <w:multiLevelType w:val="hybridMultilevel"/>
    <w:tmpl w:val="E9D40DE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33C26396"/>
    <w:multiLevelType w:val="multilevel"/>
    <w:tmpl w:val="8896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85252"/>
    <w:multiLevelType w:val="hybridMultilevel"/>
    <w:tmpl w:val="B1C07ED0"/>
    <w:lvl w:ilvl="0" w:tplc="0809000B">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6341ED1"/>
    <w:multiLevelType w:val="multilevel"/>
    <w:tmpl w:val="032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C39B8"/>
    <w:multiLevelType w:val="hybridMultilevel"/>
    <w:tmpl w:val="ACB62E9E"/>
    <w:lvl w:ilvl="0" w:tplc="3914027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6216E"/>
    <w:multiLevelType w:val="hybridMultilevel"/>
    <w:tmpl w:val="4C4ED9A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3F742F"/>
    <w:multiLevelType w:val="multilevel"/>
    <w:tmpl w:val="257E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D2CBD"/>
    <w:multiLevelType w:val="hybridMultilevel"/>
    <w:tmpl w:val="1640D85A"/>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15:restartNumberingAfterBreak="0">
    <w:nsid w:val="573A0CF6"/>
    <w:multiLevelType w:val="hybridMultilevel"/>
    <w:tmpl w:val="CDC0BD0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3" w15:restartNumberingAfterBreak="0">
    <w:nsid w:val="57442592"/>
    <w:multiLevelType w:val="hybridMultilevel"/>
    <w:tmpl w:val="2B1EA5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12E14"/>
    <w:multiLevelType w:val="multilevel"/>
    <w:tmpl w:val="FAEC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C5C92"/>
    <w:multiLevelType w:val="multilevel"/>
    <w:tmpl w:val="3226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21184"/>
    <w:multiLevelType w:val="hybridMultilevel"/>
    <w:tmpl w:val="B518081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D77991"/>
    <w:multiLevelType w:val="hybridMultilevel"/>
    <w:tmpl w:val="F0F0D3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60F2E"/>
    <w:multiLevelType w:val="hybridMultilevel"/>
    <w:tmpl w:val="F14EE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726F2C"/>
    <w:multiLevelType w:val="hybridMultilevel"/>
    <w:tmpl w:val="BC9A01F4"/>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D04250"/>
    <w:multiLevelType w:val="hybridMultilevel"/>
    <w:tmpl w:val="720242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849F5"/>
    <w:multiLevelType w:val="hybridMultilevel"/>
    <w:tmpl w:val="98A097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40161"/>
    <w:multiLevelType w:val="hybridMultilevel"/>
    <w:tmpl w:val="497A19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CBE60D5"/>
    <w:multiLevelType w:val="hybridMultilevel"/>
    <w:tmpl w:val="4044C0FC"/>
    <w:lvl w:ilvl="0" w:tplc="0809000B">
      <w:start w:val="1"/>
      <w:numFmt w:val="bullet"/>
      <w:lvlText w:val=""/>
      <w:lvlJc w:val="left"/>
      <w:pPr>
        <w:ind w:left="822" w:hanging="360"/>
      </w:pPr>
      <w:rPr>
        <w:rFonts w:ascii="Wingdings" w:hAnsi="Wingdings"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1923837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7464060">
    <w:abstractNumId w:val="8"/>
  </w:num>
  <w:num w:numId="3" w16cid:durableId="1229917652">
    <w:abstractNumId w:val="2"/>
  </w:num>
  <w:num w:numId="4" w16cid:durableId="819658861">
    <w:abstractNumId w:val="18"/>
  </w:num>
  <w:num w:numId="5" w16cid:durableId="1727875108">
    <w:abstractNumId w:val="15"/>
  </w:num>
  <w:num w:numId="6" w16cid:durableId="1145468599">
    <w:abstractNumId w:val="10"/>
  </w:num>
  <w:num w:numId="7" w16cid:durableId="830607248">
    <w:abstractNumId w:val="22"/>
  </w:num>
  <w:num w:numId="8" w16cid:durableId="419060283">
    <w:abstractNumId w:val="12"/>
  </w:num>
  <w:num w:numId="9" w16cid:durableId="1370762677">
    <w:abstractNumId w:val="4"/>
  </w:num>
  <w:num w:numId="10" w16cid:durableId="1247496694">
    <w:abstractNumId w:val="6"/>
  </w:num>
  <w:num w:numId="11" w16cid:durableId="1236477459">
    <w:abstractNumId w:val="14"/>
  </w:num>
  <w:num w:numId="12" w16cid:durableId="1288470092">
    <w:abstractNumId w:val="20"/>
  </w:num>
  <w:num w:numId="13" w16cid:durableId="1372918544">
    <w:abstractNumId w:val="23"/>
  </w:num>
  <w:num w:numId="14" w16cid:durableId="174416761">
    <w:abstractNumId w:val="5"/>
  </w:num>
  <w:num w:numId="15" w16cid:durableId="1779906890">
    <w:abstractNumId w:val="0"/>
  </w:num>
  <w:num w:numId="16" w16cid:durableId="1805811053">
    <w:abstractNumId w:val="7"/>
  </w:num>
  <w:num w:numId="17" w16cid:durableId="1526167305">
    <w:abstractNumId w:val="6"/>
  </w:num>
  <w:num w:numId="18" w16cid:durableId="356929844">
    <w:abstractNumId w:val="21"/>
  </w:num>
  <w:num w:numId="19" w16cid:durableId="501092574">
    <w:abstractNumId w:val="13"/>
  </w:num>
  <w:num w:numId="20" w16cid:durableId="26805291">
    <w:abstractNumId w:val="1"/>
  </w:num>
  <w:num w:numId="21" w16cid:durableId="1164204113">
    <w:abstractNumId w:val="19"/>
  </w:num>
  <w:num w:numId="22" w16cid:durableId="788744077">
    <w:abstractNumId w:val="9"/>
  </w:num>
  <w:num w:numId="23" w16cid:durableId="1409420967">
    <w:abstractNumId w:val="11"/>
  </w:num>
  <w:num w:numId="24" w16cid:durableId="846022535">
    <w:abstractNumId w:val="16"/>
  </w:num>
  <w:num w:numId="25" w16cid:durableId="1663774258">
    <w:abstractNumId w:val="17"/>
  </w:num>
  <w:num w:numId="26" w16cid:durableId="2061785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23"/>
    <w:rsid w:val="00002526"/>
    <w:rsid w:val="000044E2"/>
    <w:rsid w:val="00005B9A"/>
    <w:rsid w:val="000070DE"/>
    <w:rsid w:val="00012332"/>
    <w:rsid w:val="00014E94"/>
    <w:rsid w:val="00016504"/>
    <w:rsid w:val="000211F0"/>
    <w:rsid w:val="00024117"/>
    <w:rsid w:val="00024A8B"/>
    <w:rsid w:val="0002507D"/>
    <w:rsid w:val="0002555C"/>
    <w:rsid w:val="00027573"/>
    <w:rsid w:val="0003219C"/>
    <w:rsid w:val="0003306D"/>
    <w:rsid w:val="00041A27"/>
    <w:rsid w:val="00042043"/>
    <w:rsid w:val="0004393F"/>
    <w:rsid w:val="00046FB7"/>
    <w:rsid w:val="00052BFF"/>
    <w:rsid w:val="00052EC5"/>
    <w:rsid w:val="00054D98"/>
    <w:rsid w:val="00055536"/>
    <w:rsid w:val="000617F6"/>
    <w:rsid w:val="000648AD"/>
    <w:rsid w:val="00066E0E"/>
    <w:rsid w:val="00067B6B"/>
    <w:rsid w:val="00073544"/>
    <w:rsid w:val="00074507"/>
    <w:rsid w:val="00074A8E"/>
    <w:rsid w:val="00076368"/>
    <w:rsid w:val="00076CBB"/>
    <w:rsid w:val="00076CFE"/>
    <w:rsid w:val="0008173F"/>
    <w:rsid w:val="00085FC8"/>
    <w:rsid w:val="00093C2B"/>
    <w:rsid w:val="00095CB9"/>
    <w:rsid w:val="000A16F9"/>
    <w:rsid w:val="000A72B5"/>
    <w:rsid w:val="000A7C89"/>
    <w:rsid w:val="000B3828"/>
    <w:rsid w:val="000B5C05"/>
    <w:rsid w:val="000B7851"/>
    <w:rsid w:val="000C5E49"/>
    <w:rsid w:val="000D09D5"/>
    <w:rsid w:val="000D38EA"/>
    <w:rsid w:val="000D659E"/>
    <w:rsid w:val="000E0D51"/>
    <w:rsid w:val="000E291D"/>
    <w:rsid w:val="000F0142"/>
    <w:rsid w:val="000F1567"/>
    <w:rsid w:val="000F586C"/>
    <w:rsid w:val="000F7F6E"/>
    <w:rsid w:val="0010187D"/>
    <w:rsid w:val="00101B7B"/>
    <w:rsid w:val="00113003"/>
    <w:rsid w:val="00115F50"/>
    <w:rsid w:val="001163F2"/>
    <w:rsid w:val="0012206C"/>
    <w:rsid w:val="001226FB"/>
    <w:rsid w:val="001271DD"/>
    <w:rsid w:val="0013199F"/>
    <w:rsid w:val="00132B0E"/>
    <w:rsid w:val="00132C8C"/>
    <w:rsid w:val="00147EA9"/>
    <w:rsid w:val="001500EF"/>
    <w:rsid w:val="0015063B"/>
    <w:rsid w:val="00152229"/>
    <w:rsid w:val="00156137"/>
    <w:rsid w:val="00156478"/>
    <w:rsid w:val="00162997"/>
    <w:rsid w:val="001722B9"/>
    <w:rsid w:val="0018360D"/>
    <w:rsid w:val="001842C4"/>
    <w:rsid w:val="00185F66"/>
    <w:rsid w:val="00187607"/>
    <w:rsid w:val="00191E4C"/>
    <w:rsid w:val="00196FC0"/>
    <w:rsid w:val="00197F85"/>
    <w:rsid w:val="001A3AFE"/>
    <w:rsid w:val="001A5F40"/>
    <w:rsid w:val="001B69D2"/>
    <w:rsid w:val="001C207D"/>
    <w:rsid w:val="001C7F86"/>
    <w:rsid w:val="001D475E"/>
    <w:rsid w:val="001E172F"/>
    <w:rsid w:val="001E3E3A"/>
    <w:rsid w:val="001E70FE"/>
    <w:rsid w:val="001F18F0"/>
    <w:rsid w:val="001F2FA2"/>
    <w:rsid w:val="001F4005"/>
    <w:rsid w:val="0020268C"/>
    <w:rsid w:val="002060A5"/>
    <w:rsid w:val="00210E8C"/>
    <w:rsid w:val="00214422"/>
    <w:rsid w:val="00216E75"/>
    <w:rsid w:val="00221142"/>
    <w:rsid w:val="002224CA"/>
    <w:rsid w:val="00222AFE"/>
    <w:rsid w:val="00223E64"/>
    <w:rsid w:val="00232388"/>
    <w:rsid w:val="002327AF"/>
    <w:rsid w:val="002328E4"/>
    <w:rsid w:val="0024283E"/>
    <w:rsid w:val="00243001"/>
    <w:rsid w:val="00244D29"/>
    <w:rsid w:val="00244F35"/>
    <w:rsid w:val="00247D40"/>
    <w:rsid w:val="00256DD0"/>
    <w:rsid w:val="002570DD"/>
    <w:rsid w:val="00262868"/>
    <w:rsid w:val="00272FE9"/>
    <w:rsid w:val="00273370"/>
    <w:rsid w:val="0027441A"/>
    <w:rsid w:val="00275D6F"/>
    <w:rsid w:val="002763BF"/>
    <w:rsid w:val="00281F97"/>
    <w:rsid w:val="00287586"/>
    <w:rsid w:val="002877BC"/>
    <w:rsid w:val="002933B1"/>
    <w:rsid w:val="002944E1"/>
    <w:rsid w:val="002954AC"/>
    <w:rsid w:val="00296E2D"/>
    <w:rsid w:val="002A0F5C"/>
    <w:rsid w:val="002A1859"/>
    <w:rsid w:val="002B13F5"/>
    <w:rsid w:val="002B6682"/>
    <w:rsid w:val="002B6ADF"/>
    <w:rsid w:val="002C307C"/>
    <w:rsid w:val="002C5488"/>
    <w:rsid w:val="002D0963"/>
    <w:rsid w:val="002D09FF"/>
    <w:rsid w:val="002D2E7A"/>
    <w:rsid w:val="002D2F49"/>
    <w:rsid w:val="002D3746"/>
    <w:rsid w:val="002D69B8"/>
    <w:rsid w:val="002E0E94"/>
    <w:rsid w:val="002E39CB"/>
    <w:rsid w:val="002F0B81"/>
    <w:rsid w:val="002F511C"/>
    <w:rsid w:val="002F6CE8"/>
    <w:rsid w:val="00302B5B"/>
    <w:rsid w:val="00305C9C"/>
    <w:rsid w:val="003078BF"/>
    <w:rsid w:val="00310C2C"/>
    <w:rsid w:val="00314D7F"/>
    <w:rsid w:val="00315E2D"/>
    <w:rsid w:val="0032753D"/>
    <w:rsid w:val="003318AA"/>
    <w:rsid w:val="0033218C"/>
    <w:rsid w:val="003358F1"/>
    <w:rsid w:val="00341D4F"/>
    <w:rsid w:val="00342309"/>
    <w:rsid w:val="00343A3C"/>
    <w:rsid w:val="00343F17"/>
    <w:rsid w:val="00346447"/>
    <w:rsid w:val="003478F3"/>
    <w:rsid w:val="003529C5"/>
    <w:rsid w:val="00356844"/>
    <w:rsid w:val="0036121E"/>
    <w:rsid w:val="003621FD"/>
    <w:rsid w:val="00364A13"/>
    <w:rsid w:val="003654BA"/>
    <w:rsid w:val="00367B4C"/>
    <w:rsid w:val="00374F8F"/>
    <w:rsid w:val="00375EC0"/>
    <w:rsid w:val="00386035"/>
    <w:rsid w:val="00386724"/>
    <w:rsid w:val="00387CBF"/>
    <w:rsid w:val="00387E51"/>
    <w:rsid w:val="0039571D"/>
    <w:rsid w:val="003A0F3B"/>
    <w:rsid w:val="003A1C1C"/>
    <w:rsid w:val="003A1CF4"/>
    <w:rsid w:val="003A3954"/>
    <w:rsid w:val="003C2AC4"/>
    <w:rsid w:val="003C329C"/>
    <w:rsid w:val="003C3796"/>
    <w:rsid w:val="003C45AC"/>
    <w:rsid w:val="003C6D0B"/>
    <w:rsid w:val="003D19AE"/>
    <w:rsid w:val="003D346D"/>
    <w:rsid w:val="003D6007"/>
    <w:rsid w:val="003E5EBC"/>
    <w:rsid w:val="003F0647"/>
    <w:rsid w:val="003F4A3C"/>
    <w:rsid w:val="003F6495"/>
    <w:rsid w:val="0041043C"/>
    <w:rsid w:val="004107EC"/>
    <w:rsid w:val="00411FF5"/>
    <w:rsid w:val="004129AA"/>
    <w:rsid w:val="00425AD6"/>
    <w:rsid w:val="00430BAB"/>
    <w:rsid w:val="004313B0"/>
    <w:rsid w:val="004378C7"/>
    <w:rsid w:val="0044027D"/>
    <w:rsid w:val="00445A28"/>
    <w:rsid w:val="00447D33"/>
    <w:rsid w:val="00455849"/>
    <w:rsid w:val="00467215"/>
    <w:rsid w:val="00467725"/>
    <w:rsid w:val="0047321A"/>
    <w:rsid w:val="00481BCE"/>
    <w:rsid w:val="00484102"/>
    <w:rsid w:val="00486749"/>
    <w:rsid w:val="00487AEB"/>
    <w:rsid w:val="00487D0E"/>
    <w:rsid w:val="004A5454"/>
    <w:rsid w:val="004A63A9"/>
    <w:rsid w:val="004A6C05"/>
    <w:rsid w:val="004A738A"/>
    <w:rsid w:val="004B12AB"/>
    <w:rsid w:val="004B4A36"/>
    <w:rsid w:val="004B6E53"/>
    <w:rsid w:val="004C1BD3"/>
    <w:rsid w:val="004C24FC"/>
    <w:rsid w:val="004C4F5E"/>
    <w:rsid w:val="004C5F3F"/>
    <w:rsid w:val="004D1B9F"/>
    <w:rsid w:val="004D682B"/>
    <w:rsid w:val="004E25D5"/>
    <w:rsid w:val="004F0A3F"/>
    <w:rsid w:val="004F1B40"/>
    <w:rsid w:val="004F29D2"/>
    <w:rsid w:val="004F32D4"/>
    <w:rsid w:val="004F3F1E"/>
    <w:rsid w:val="004F6EE4"/>
    <w:rsid w:val="00500759"/>
    <w:rsid w:val="0050423F"/>
    <w:rsid w:val="0052633B"/>
    <w:rsid w:val="00530C8E"/>
    <w:rsid w:val="00531859"/>
    <w:rsid w:val="005327AF"/>
    <w:rsid w:val="00532EF7"/>
    <w:rsid w:val="00534BF8"/>
    <w:rsid w:val="00541F99"/>
    <w:rsid w:val="00542098"/>
    <w:rsid w:val="00543335"/>
    <w:rsid w:val="00543F2E"/>
    <w:rsid w:val="00544370"/>
    <w:rsid w:val="00546AB2"/>
    <w:rsid w:val="00546C41"/>
    <w:rsid w:val="00551271"/>
    <w:rsid w:val="00554DA2"/>
    <w:rsid w:val="00571D54"/>
    <w:rsid w:val="0058202E"/>
    <w:rsid w:val="00583E84"/>
    <w:rsid w:val="00584528"/>
    <w:rsid w:val="00585D1A"/>
    <w:rsid w:val="00594815"/>
    <w:rsid w:val="005A0EF4"/>
    <w:rsid w:val="005A1C81"/>
    <w:rsid w:val="005A2207"/>
    <w:rsid w:val="005A45E8"/>
    <w:rsid w:val="005B3E0B"/>
    <w:rsid w:val="005B6405"/>
    <w:rsid w:val="005B6778"/>
    <w:rsid w:val="005C3DE5"/>
    <w:rsid w:val="005C42F0"/>
    <w:rsid w:val="005C5AB0"/>
    <w:rsid w:val="005D41A4"/>
    <w:rsid w:val="005D574E"/>
    <w:rsid w:val="005E27B5"/>
    <w:rsid w:val="005E6AD4"/>
    <w:rsid w:val="005F2D1D"/>
    <w:rsid w:val="005F6DC5"/>
    <w:rsid w:val="00602FEB"/>
    <w:rsid w:val="00612920"/>
    <w:rsid w:val="0061478A"/>
    <w:rsid w:val="006150C2"/>
    <w:rsid w:val="00616ECC"/>
    <w:rsid w:val="006230A2"/>
    <w:rsid w:val="0062732B"/>
    <w:rsid w:val="00631AE8"/>
    <w:rsid w:val="00636738"/>
    <w:rsid w:val="00651B52"/>
    <w:rsid w:val="0065617B"/>
    <w:rsid w:val="00656D9A"/>
    <w:rsid w:val="0066375D"/>
    <w:rsid w:val="006666E8"/>
    <w:rsid w:val="006751EE"/>
    <w:rsid w:val="006763A2"/>
    <w:rsid w:val="00676B98"/>
    <w:rsid w:val="0068020E"/>
    <w:rsid w:val="006863A7"/>
    <w:rsid w:val="00691E35"/>
    <w:rsid w:val="00691F30"/>
    <w:rsid w:val="006A0EDE"/>
    <w:rsid w:val="006A3347"/>
    <w:rsid w:val="006B236B"/>
    <w:rsid w:val="006B2E05"/>
    <w:rsid w:val="006B5D80"/>
    <w:rsid w:val="006B64E2"/>
    <w:rsid w:val="006C0263"/>
    <w:rsid w:val="006D447D"/>
    <w:rsid w:val="006E0F2C"/>
    <w:rsid w:val="006E3ACD"/>
    <w:rsid w:val="006F480A"/>
    <w:rsid w:val="006F6F83"/>
    <w:rsid w:val="00703935"/>
    <w:rsid w:val="00704B20"/>
    <w:rsid w:val="00707FBB"/>
    <w:rsid w:val="007145A8"/>
    <w:rsid w:val="00717B13"/>
    <w:rsid w:val="00717EC5"/>
    <w:rsid w:val="00720982"/>
    <w:rsid w:val="00723A03"/>
    <w:rsid w:val="00723E66"/>
    <w:rsid w:val="00724A9C"/>
    <w:rsid w:val="00727FF3"/>
    <w:rsid w:val="00730885"/>
    <w:rsid w:val="00731013"/>
    <w:rsid w:val="0073292C"/>
    <w:rsid w:val="0074471F"/>
    <w:rsid w:val="00746370"/>
    <w:rsid w:val="00754566"/>
    <w:rsid w:val="00754A21"/>
    <w:rsid w:val="0076049D"/>
    <w:rsid w:val="00761105"/>
    <w:rsid w:val="007611B6"/>
    <w:rsid w:val="00761CC7"/>
    <w:rsid w:val="0076431C"/>
    <w:rsid w:val="00764E94"/>
    <w:rsid w:val="00777CE0"/>
    <w:rsid w:val="00785D24"/>
    <w:rsid w:val="0079013F"/>
    <w:rsid w:val="007929E3"/>
    <w:rsid w:val="007939FA"/>
    <w:rsid w:val="00797452"/>
    <w:rsid w:val="007A0521"/>
    <w:rsid w:val="007A5222"/>
    <w:rsid w:val="007A7B50"/>
    <w:rsid w:val="007B11C0"/>
    <w:rsid w:val="007B27F0"/>
    <w:rsid w:val="007B28A1"/>
    <w:rsid w:val="007B3B7F"/>
    <w:rsid w:val="007B4880"/>
    <w:rsid w:val="007B5EF7"/>
    <w:rsid w:val="007B65E8"/>
    <w:rsid w:val="007C32F7"/>
    <w:rsid w:val="007C6F7A"/>
    <w:rsid w:val="007C7810"/>
    <w:rsid w:val="007D3B17"/>
    <w:rsid w:val="007E182F"/>
    <w:rsid w:val="007E4533"/>
    <w:rsid w:val="007E58D8"/>
    <w:rsid w:val="007F2A09"/>
    <w:rsid w:val="007F355C"/>
    <w:rsid w:val="0080311D"/>
    <w:rsid w:val="00804DC0"/>
    <w:rsid w:val="00814177"/>
    <w:rsid w:val="0081579C"/>
    <w:rsid w:val="00815E32"/>
    <w:rsid w:val="00820BCD"/>
    <w:rsid w:val="00820F07"/>
    <w:rsid w:val="0082178A"/>
    <w:rsid w:val="00822FA2"/>
    <w:rsid w:val="008244EE"/>
    <w:rsid w:val="0083583F"/>
    <w:rsid w:val="00837D9E"/>
    <w:rsid w:val="00841BC4"/>
    <w:rsid w:val="008459A3"/>
    <w:rsid w:val="008475E6"/>
    <w:rsid w:val="00851C75"/>
    <w:rsid w:val="008538AB"/>
    <w:rsid w:val="00864DA9"/>
    <w:rsid w:val="00866F6F"/>
    <w:rsid w:val="008673A0"/>
    <w:rsid w:val="00870CBC"/>
    <w:rsid w:val="0087143D"/>
    <w:rsid w:val="00872618"/>
    <w:rsid w:val="00876656"/>
    <w:rsid w:val="00877304"/>
    <w:rsid w:val="00880131"/>
    <w:rsid w:val="0089216C"/>
    <w:rsid w:val="008948A8"/>
    <w:rsid w:val="008972CF"/>
    <w:rsid w:val="008A1490"/>
    <w:rsid w:val="008A2A19"/>
    <w:rsid w:val="008A3DF9"/>
    <w:rsid w:val="008A4291"/>
    <w:rsid w:val="008A7513"/>
    <w:rsid w:val="008A7C9D"/>
    <w:rsid w:val="008B01EE"/>
    <w:rsid w:val="008B0529"/>
    <w:rsid w:val="008B0FD4"/>
    <w:rsid w:val="008B127C"/>
    <w:rsid w:val="008B3048"/>
    <w:rsid w:val="008C1014"/>
    <w:rsid w:val="008C164D"/>
    <w:rsid w:val="008C269F"/>
    <w:rsid w:val="008C63C7"/>
    <w:rsid w:val="008D26DE"/>
    <w:rsid w:val="008D5245"/>
    <w:rsid w:val="008E373E"/>
    <w:rsid w:val="008E3FE8"/>
    <w:rsid w:val="008E4620"/>
    <w:rsid w:val="008E5BC6"/>
    <w:rsid w:val="008E6BE4"/>
    <w:rsid w:val="008E6C04"/>
    <w:rsid w:val="008F04E3"/>
    <w:rsid w:val="008F31BE"/>
    <w:rsid w:val="008F5683"/>
    <w:rsid w:val="008F60EA"/>
    <w:rsid w:val="00902B12"/>
    <w:rsid w:val="0090410A"/>
    <w:rsid w:val="00907C22"/>
    <w:rsid w:val="00920EA3"/>
    <w:rsid w:val="0092619B"/>
    <w:rsid w:val="00926B91"/>
    <w:rsid w:val="00934877"/>
    <w:rsid w:val="00941BF4"/>
    <w:rsid w:val="00952C57"/>
    <w:rsid w:val="009549B1"/>
    <w:rsid w:val="00957890"/>
    <w:rsid w:val="00960049"/>
    <w:rsid w:val="009617FF"/>
    <w:rsid w:val="0097430A"/>
    <w:rsid w:val="00974CFE"/>
    <w:rsid w:val="00974F22"/>
    <w:rsid w:val="00975D19"/>
    <w:rsid w:val="00976094"/>
    <w:rsid w:val="009779B1"/>
    <w:rsid w:val="009816E2"/>
    <w:rsid w:val="009854EE"/>
    <w:rsid w:val="0098553F"/>
    <w:rsid w:val="00990F94"/>
    <w:rsid w:val="00993623"/>
    <w:rsid w:val="00994717"/>
    <w:rsid w:val="00994793"/>
    <w:rsid w:val="00995153"/>
    <w:rsid w:val="00995957"/>
    <w:rsid w:val="00995BA1"/>
    <w:rsid w:val="0099733B"/>
    <w:rsid w:val="009A14C4"/>
    <w:rsid w:val="009A3DC1"/>
    <w:rsid w:val="009A42C9"/>
    <w:rsid w:val="009A71C7"/>
    <w:rsid w:val="009B180A"/>
    <w:rsid w:val="009B66F7"/>
    <w:rsid w:val="009B7B12"/>
    <w:rsid w:val="009C3E67"/>
    <w:rsid w:val="009D39B5"/>
    <w:rsid w:val="009F3C7E"/>
    <w:rsid w:val="009F4A68"/>
    <w:rsid w:val="00A03507"/>
    <w:rsid w:val="00A04FEF"/>
    <w:rsid w:val="00A24173"/>
    <w:rsid w:val="00A319C1"/>
    <w:rsid w:val="00A322B0"/>
    <w:rsid w:val="00A344D6"/>
    <w:rsid w:val="00A34543"/>
    <w:rsid w:val="00A36556"/>
    <w:rsid w:val="00A44EFA"/>
    <w:rsid w:val="00A52FC3"/>
    <w:rsid w:val="00A6757F"/>
    <w:rsid w:val="00A714FA"/>
    <w:rsid w:val="00A7315A"/>
    <w:rsid w:val="00A74DCB"/>
    <w:rsid w:val="00A75162"/>
    <w:rsid w:val="00A85A90"/>
    <w:rsid w:val="00A85FB1"/>
    <w:rsid w:val="00AA143B"/>
    <w:rsid w:val="00AA5325"/>
    <w:rsid w:val="00AA588A"/>
    <w:rsid w:val="00AA704E"/>
    <w:rsid w:val="00AC276E"/>
    <w:rsid w:val="00AC47C8"/>
    <w:rsid w:val="00AC5359"/>
    <w:rsid w:val="00AD32C4"/>
    <w:rsid w:val="00AD56EC"/>
    <w:rsid w:val="00AD71C8"/>
    <w:rsid w:val="00AD7FAF"/>
    <w:rsid w:val="00AE45EA"/>
    <w:rsid w:val="00AF0EDC"/>
    <w:rsid w:val="00B01190"/>
    <w:rsid w:val="00B0400D"/>
    <w:rsid w:val="00B05C32"/>
    <w:rsid w:val="00B12FB9"/>
    <w:rsid w:val="00B13897"/>
    <w:rsid w:val="00B1769C"/>
    <w:rsid w:val="00B2278C"/>
    <w:rsid w:val="00B32E66"/>
    <w:rsid w:val="00B373C7"/>
    <w:rsid w:val="00B469D8"/>
    <w:rsid w:val="00B47034"/>
    <w:rsid w:val="00B56251"/>
    <w:rsid w:val="00B65733"/>
    <w:rsid w:val="00B66D9D"/>
    <w:rsid w:val="00B67EC6"/>
    <w:rsid w:val="00B716E8"/>
    <w:rsid w:val="00B724C9"/>
    <w:rsid w:val="00B75817"/>
    <w:rsid w:val="00B77CCB"/>
    <w:rsid w:val="00B857C9"/>
    <w:rsid w:val="00B86656"/>
    <w:rsid w:val="00B90A6C"/>
    <w:rsid w:val="00B94A28"/>
    <w:rsid w:val="00B96767"/>
    <w:rsid w:val="00B96896"/>
    <w:rsid w:val="00BA032A"/>
    <w:rsid w:val="00BA68F8"/>
    <w:rsid w:val="00BA7AED"/>
    <w:rsid w:val="00BB63F5"/>
    <w:rsid w:val="00BC33C0"/>
    <w:rsid w:val="00BC4197"/>
    <w:rsid w:val="00BC7850"/>
    <w:rsid w:val="00BC7E7A"/>
    <w:rsid w:val="00BD29F9"/>
    <w:rsid w:val="00BE670A"/>
    <w:rsid w:val="00BE7A93"/>
    <w:rsid w:val="00BF4106"/>
    <w:rsid w:val="00BF4863"/>
    <w:rsid w:val="00C028D8"/>
    <w:rsid w:val="00C03000"/>
    <w:rsid w:val="00C03A61"/>
    <w:rsid w:val="00C04F23"/>
    <w:rsid w:val="00C10BE7"/>
    <w:rsid w:val="00C14F08"/>
    <w:rsid w:val="00C17E10"/>
    <w:rsid w:val="00C200ED"/>
    <w:rsid w:val="00C208CF"/>
    <w:rsid w:val="00C213C0"/>
    <w:rsid w:val="00C27DF4"/>
    <w:rsid w:val="00C332E3"/>
    <w:rsid w:val="00C3753D"/>
    <w:rsid w:val="00C40031"/>
    <w:rsid w:val="00C42F3F"/>
    <w:rsid w:val="00C44C40"/>
    <w:rsid w:val="00C536E5"/>
    <w:rsid w:val="00C54600"/>
    <w:rsid w:val="00C56BEC"/>
    <w:rsid w:val="00C64674"/>
    <w:rsid w:val="00C6654A"/>
    <w:rsid w:val="00C67F67"/>
    <w:rsid w:val="00C752E3"/>
    <w:rsid w:val="00C77633"/>
    <w:rsid w:val="00C82C79"/>
    <w:rsid w:val="00C901B6"/>
    <w:rsid w:val="00C92AFF"/>
    <w:rsid w:val="00C93A65"/>
    <w:rsid w:val="00C9470A"/>
    <w:rsid w:val="00C95829"/>
    <w:rsid w:val="00C96DDA"/>
    <w:rsid w:val="00CA3F4E"/>
    <w:rsid w:val="00CA76E8"/>
    <w:rsid w:val="00CB2333"/>
    <w:rsid w:val="00CB38FD"/>
    <w:rsid w:val="00CC23FC"/>
    <w:rsid w:val="00CC4F9C"/>
    <w:rsid w:val="00CE0A57"/>
    <w:rsid w:val="00CE0ED3"/>
    <w:rsid w:val="00CE5E58"/>
    <w:rsid w:val="00CF066A"/>
    <w:rsid w:val="00CF0D0B"/>
    <w:rsid w:val="00CF17C6"/>
    <w:rsid w:val="00D02B88"/>
    <w:rsid w:val="00D14072"/>
    <w:rsid w:val="00D16BA5"/>
    <w:rsid w:val="00D2663B"/>
    <w:rsid w:val="00D27474"/>
    <w:rsid w:val="00D32323"/>
    <w:rsid w:val="00D32D5C"/>
    <w:rsid w:val="00D36575"/>
    <w:rsid w:val="00D4015B"/>
    <w:rsid w:val="00D56DEC"/>
    <w:rsid w:val="00D57549"/>
    <w:rsid w:val="00D61CCF"/>
    <w:rsid w:val="00D6528B"/>
    <w:rsid w:val="00D677D0"/>
    <w:rsid w:val="00D85BDB"/>
    <w:rsid w:val="00D864CB"/>
    <w:rsid w:val="00D905AC"/>
    <w:rsid w:val="00D97761"/>
    <w:rsid w:val="00D977F3"/>
    <w:rsid w:val="00DA5A13"/>
    <w:rsid w:val="00DB1C09"/>
    <w:rsid w:val="00DB2667"/>
    <w:rsid w:val="00DB376E"/>
    <w:rsid w:val="00DB5995"/>
    <w:rsid w:val="00DB624C"/>
    <w:rsid w:val="00DB6597"/>
    <w:rsid w:val="00DB7B0C"/>
    <w:rsid w:val="00DC08F9"/>
    <w:rsid w:val="00DC3EC4"/>
    <w:rsid w:val="00DE40AC"/>
    <w:rsid w:val="00DE62ED"/>
    <w:rsid w:val="00DE79D1"/>
    <w:rsid w:val="00DF2453"/>
    <w:rsid w:val="00DF3ACC"/>
    <w:rsid w:val="00DF4E9C"/>
    <w:rsid w:val="00DF563F"/>
    <w:rsid w:val="00DF5730"/>
    <w:rsid w:val="00DF5983"/>
    <w:rsid w:val="00E00F1E"/>
    <w:rsid w:val="00E03EE2"/>
    <w:rsid w:val="00E200EB"/>
    <w:rsid w:val="00E21840"/>
    <w:rsid w:val="00E40D4A"/>
    <w:rsid w:val="00E5035F"/>
    <w:rsid w:val="00E52170"/>
    <w:rsid w:val="00E5527C"/>
    <w:rsid w:val="00E65A22"/>
    <w:rsid w:val="00E66C76"/>
    <w:rsid w:val="00E8101B"/>
    <w:rsid w:val="00E8508E"/>
    <w:rsid w:val="00E8523B"/>
    <w:rsid w:val="00E85E76"/>
    <w:rsid w:val="00EA2BCD"/>
    <w:rsid w:val="00EA5916"/>
    <w:rsid w:val="00EA5CA6"/>
    <w:rsid w:val="00EB07C8"/>
    <w:rsid w:val="00EB5B62"/>
    <w:rsid w:val="00EE05A5"/>
    <w:rsid w:val="00EE0C97"/>
    <w:rsid w:val="00EE1BCB"/>
    <w:rsid w:val="00EE1EDE"/>
    <w:rsid w:val="00EE323E"/>
    <w:rsid w:val="00EE356E"/>
    <w:rsid w:val="00EE40C6"/>
    <w:rsid w:val="00EE60C4"/>
    <w:rsid w:val="00EF3D86"/>
    <w:rsid w:val="00F10722"/>
    <w:rsid w:val="00F13E41"/>
    <w:rsid w:val="00F13E58"/>
    <w:rsid w:val="00F25DDF"/>
    <w:rsid w:val="00F34EAC"/>
    <w:rsid w:val="00F4120C"/>
    <w:rsid w:val="00F50FE4"/>
    <w:rsid w:val="00F53F6B"/>
    <w:rsid w:val="00F61749"/>
    <w:rsid w:val="00F64996"/>
    <w:rsid w:val="00F64F50"/>
    <w:rsid w:val="00F654E5"/>
    <w:rsid w:val="00F66AA9"/>
    <w:rsid w:val="00F677E1"/>
    <w:rsid w:val="00F73C89"/>
    <w:rsid w:val="00F83F5C"/>
    <w:rsid w:val="00F857FC"/>
    <w:rsid w:val="00F9058D"/>
    <w:rsid w:val="00FA5AA2"/>
    <w:rsid w:val="00FA705A"/>
    <w:rsid w:val="00FB0FB0"/>
    <w:rsid w:val="00FD3F4A"/>
    <w:rsid w:val="00FD62E6"/>
    <w:rsid w:val="00FD7462"/>
    <w:rsid w:val="00FE3CBC"/>
    <w:rsid w:val="00FE4807"/>
    <w:rsid w:val="00FE625B"/>
    <w:rsid w:val="00FE71B0"/>
    <w:rsid w:val="00FE7E8E"/>
    <w:rsid w:val="00FF14B5"/>
    <w:rsid w:val="00FF30EB"/>
    <w:rsid w:val="00FF4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125C0"/>
  <w15:chartTrackingRefBased/>
  <w15:docId w15:val="{65C67B32-A214-48EC-8FCE-82D0140B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DA9"/>
  </w:style>
  <w:style w:type="paragraph" w:styleId="Heading1">
    <w:name w:val="heading 1"/>
    <w:basedOn w:val="Normal"/>
    <w:next w:val="Normal"/>
    <w:link w:val="Heading1Char"/>
    <w:uiPriority w:val="9"/>
    <w:qFormat/>
    <w:rsid w:val="00864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DA9"/>
    <w:rPr>
      <w:rFonts w:eastAsiaTheme="majorEastAsia" w:cstheme="majorBidi"/>
      <w:color w:val="272727" w:themeColor="text1" w:themeTint="D8"/>
    </w:rPr>
  </w:style>
  <w:style w:type="paragraph" w:styleId="Title">
    <w:name w:val="Title"/>
    <w:basedOn w:val="Normal"/>
    <w:next w:val="Normal"/>
    <w:link w:val="TitleChar"/>
    <w:uiPriority w:val="10"/>
    <w:qFormat/>
    <w:rsid w:val="00864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DA9"/>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864DA9"/>
    <w:pPr>
      <w:spacing w:before="2" w:after="0" w:line="240" w:lineRule="auto"/>
      <w:ind w:left="102"/>
    </w:pPr>
    <w:rPr>
      <w:rFonts w:ascii="Arial" w:eastAsia="Arial" w:hAnsi="Arial" w:cs="Arial"/>
      <w:kern w:val="0"/>
      <w:sz w:val="18"/>
      <w:szCs w:val="18"/>
      <w:lang w:val="en-US"/>
    </w:rPr>
  </w:style>
  <w:style w:type="character" w:customStyle="1" w:styleId="BodyTextChar">
    <w:name w:val="Body Text Char"/>
    <w:basedOn w:val="DefaultParagraphFont"/>
    <w:link w:val="BodyText"/>
    <w:uiPriority w:val="1"/>
    <w:rsid w:val="00864DA9"/>
    <w:rPr>
      <w:rFonts w:ascii="Arial" w:eastAsia="Arial" w:hAnsi="Arial" w:cs="Arial"/>
      <w:kern w:val="0"/>
      <w:sz w:val="18"/>
      <w:szCs w:val="18"/>
      <w:lang w:val="en-US"/>
    </w:rPr>
  </w:style>
  <w:style w:type="paragraph" w:styleId="Subtitle">
    <w:name w:val="Subtitle"/>
    <w:basedOn w:val="Normal"/>
    <w:next w:val="Normal"/>
    <w:link w:val="SubtitleChar"/>
    <w:uiPriority w:val="11"/>
    <w:qFormat/>
    <w:rsid w:val="00864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DA9"/>
    <w:rPr>
      <w:rFonts w:eastAsiaTheme="majorEastAsia" w:cstheme="majorBidi"/>
      <w:color w:val="595959" w:themeColor="text1" w:themeTint="A6"/>
      <w:spacing w:val="15"/>
      <w:sz w:val="28"/>
      <w:szCs w:val="28"/>
    </w:rPr>
  </w:style>
  <w:style w:type="paragraph" w:styleId="NoSpacing">
    <w:name w:val="No Spacing"/>
    <w:uiPriority w:val="1"/>
    <w:qFormat/>
    <w:rsid w:val="00864DA9"/>
    <w:pPr>
      <w:spacing w:after="0" w:line="240" w:lineRule="auto"/>
    </w:pPr>
  </w:style>
  <w:style w:type="paragraph" w:styleId="ListParagraph">
    <w:name w:val="List Paragraph"/>
    <w:basedOn w:val="Normal"/>
    <w:link w:val="ListParagraphChar"/>
    <w:uiPriority w:val="34"/>
    <w:qFormat/>
    <w:rsid w:val="00864DA9"/>
    <w:pPr>
      <w:ind w:left="720"/>
      <w:contextualSpacing/>
    </w:pPr>
  </w:style>
  <w:style w:type="paragraph" w:styleId="Quote">
    <w:name w:val="Quote"/>
    <w:basedOn w:val="Normal"/>
    <w:next w:val="Normal"/>
    <w:link w:val="QuoteChar"/>
    <w:uiPriority w:val="29"/>
    <w:qFormat/>
    <w:rsid w:val="00864DA9"/>
    <w:pPr>
      <w:spacing w:before="160"/>
      <w:jc w:val="center"/>
    </w:pPr>
    <w:rPr>
      <w:i/>
      <w:iCs/>
      <w:color w:val="404040" w:themeColor="text1" w:themeTint="BF"/>
    </w:rPr>
  </w:style>
  <w:style w:type="character" w:customStyle="1" w:styleId="QuoteChar">
    <w:name w:val="Quote Char"/>
    <w:basedOn w:val="DefaultParagraphFont"/>
    <w:link w:val="Quote"/>
    <w:uiPriority w:val="29"/>
    <w:rsid w:val="00864DA9"/>
    <w:rPr>
      <w:i/>
      <w:iCs/>
      <w:color w:val="404040" w:themeColor="text1" w:themeTint="BF"/>
    </w:rPr>
  </w:style>
  <w:style w:type="paragraph" w:styleId="IntenseQuote">
    <w:name w:val="Intense Quote"/>
    <w:basedOn w:val="Normal"/>
    <w:next w:val="Normal"/>
    <w:link w:val="IntenseQuoteChar"/>
    <w:uiPriority w:val="30"/>
    <w:qFormat/>
    <w:rsid w:val="00864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DA9"/>
    <w:rPr>
      <w:i/>
      <w:iCs/>
      <w:color w:val="0F4761" w:themeColor="accent1" w:themeShade="BF"/>
    </w:rPr>
  </w:style>
  <w:style w:type="character" w:styleId="IntenseEmphasis">
    <w:name w:val="Intense Emphasis"/>
    <w:basedOn w:val="DefaultParagraphFont"/>
    <w:uiPriority w:val="21"/>
    <w:qFormat/>
    <w:rsid w:val="00864DA9"/>
    <w:rPr>
      <w:i/>
      <w:iCs/>
      <w:color w:val="0F4761" w:themeColor="accent1" w:themeShade="BF"/>
    </w:rPr>
  </w:style>
  <w:style w:type="character" w:styleId="IntenseReference">
    <w:name w:val="Intense Reference"/>
    <w:basedOn w:val="DefaultParagraphFont"/>
    <w:uiPriority w:val="32"/>
    <w:qFormat/>
    <w:rsid w:val="00864DA9"/>
    <w:rPr>
      <w:b/>
      <w:bCs/>
      <w:smallCaps/>
      <w:color w:val="0F4761" w:themeColor="accent1" w:themeShade="BF"/>
      <w:spacing w:val="5"/>
    </w:rPr>
  </w:style>
  <w:style w:type="character" w:styleId="Hyperlink">
    <w:name w:val="Hyperlink"/>
    <w:basedOn w:val="DefaultParagraphFont"/>
    <w:uiPriority w:val="99"/>
    <w:unhideWhenUsed/>
    <w:rsid w:val="002327AF"/>
    <w:rPr>
      <w:color w:val="467886" w:themeColor="hyperlink"/>
      <w:u w:val="single"/>
    </w:rPr>
  </w:style>
  <w:style w:type="character" w:styleId="UnresolvedMention">
    <w:name w:val="Unresolved Mention"/>
    <w:basedOn w:val="DefaultParagraphFont"/>
    <w:uiPriority w:val="99"/>
    <w:semiHidden/>
    <w:unhideWhenUsed/>
    <w:rsid w:val="002327AF"/>
    <w:rPr>
      <w:color w:val="605E5C"/>
      <w:shd w:val="clear" w:color="auto" w:fill="E1DFDD"/>
    </w:rPr>
  </w:style>
  <w:style w:type="paragraph" w:styleId="Header">
    <w:name w:val="header"/>
    <w:basedOn w:val="Normal"/>
    <w:link w:val="HeaderChar"/>
    <w:uiPriority w:val="99"/>
    <w:unhideWhenUsed/>
    <w:rsid w:val="00232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7AF"/>
  </w:style>
  <w:style w:type="paragraph" w:styleId="Footer">
    <w:name w:val="footer"/>
    <w:basedOn w:val="Normal"/>
    <w:link w:val="FooterChar"/>
    <w:uiPriority w:val="99"/>
    <w:unhideWhenUsed/>
    <w:rsid w:val="00232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7AF"/>
  </w:style>
  <w:style w:type="character" w:customStyle="1" w:styleId="ListParagraphChar">
    <w:name w:val="List Paragraph Char"/>
    <w:link w:val="ListParagraph"/>
    <w:uiPriority w:val="34"/>
    <w:locked/>
    <w:rsid w:val="00E40D4A"/>
  </w:style>
  <w:style w:type="character" w:styleId="CommentReference">
    <w:name w:val="annotation reference"/>
    <w:basedOn w:val="DefaultParagraphFont"/>
    <w:uiPriority w:val="99"/>
    <w:semiHidden/>
    <w:unhideWhenUsed/>
    <w:rsid w:val="008A7C9D"/>
    <w:rPr>
      <w:sz w:val="16"/>
      <w:szCs w:val="16"/>
    </w:rPr>
  </w:style>
  <w:style w:type="paragraph" w:styleId="CommentText">
    <w:name w:val="annotation text"/>
    <w:basedOn w:val="Normal"/>
    <w:link w:val="CommentTextChar"/>
    <w:uiPriority w:val="99"/>
    <w:unhideWhenUsed/>
    <w:rsid w:val="008A7C9D"/>
    <w:pPr>
      <w:spacing w:line="240" w:lineRule="auto"/>
    </w:pPr>
    <w:rPr>
      <w:sz w:val="20"/>
      <w:szCs w:val="20"/>
    </w:rPr>
  </w:style>
  <w:style w:type="character" w:customStyle="1" w:styleId="CommentTextChar">
    <w:name w:val="Comment Text Char"/>
    <w:basedOn w:val="DefaultParagraphFont"/>
    <w:link w:val="CommentText"/>
    <w:uiPriority w:val="99"/>
    <w:rsid w:val="008A7C9D"/>
    <w:rPr>
      <w:sz w:val="20"/>
      <w:szCs w:val="20"/>
    </w:rPr>
  </w:style>
  <w:style w:type="paragraph" w:styleId="CommentSubject">
    <w:name w:val="annotation subject"/>
    <w:basedOn w:val="CommentText"/>
    <w:next w:val="CommentText"/>
    <w:link w:val="CommentSubjectChar"/>
    <w:uiPriority w:val="99"/>
    <w:semiHidden/>
    <w:unhideWhenUsed/>
    <w:rsid w:val="008A7C9D"/>
    <w:rPr>
      <w:b/>
      <w:bCs/>
    </w:rPr>
  </w:style>
  <w:style w:type="character" w:customStyle="1" w:styleId="CommentSubjectChar">
    <w:name w:val="Comment Subject Char"/>
    <w:basedOn w:val="CommentTextChar"/>
    <w:link w:val="CommentSubject"/>
    <w:uiPriority w:val="99"/>
    <w:semiHidden/>
    <w:rsid w:val="008A7C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4922">
      <w:bodyDiv w:val="1"/>
      <w:marLeft w:val="0"/>
      <w:marRight w:val="0"/>
      <w:marTop w:val="0"/>
      <w:marBottom w:val="0"/>
      <w:divBdr>
        <w:top w:val="none" w:sz="0" w:space="0" w:color="auto"/>
        <w:left w:val="none" w:sz="0" w:space="0" w:color="auto"/>
        <w:bottom w:val="none" w:sz="0" w:space="0" w:color="auto"/>
        <w:right w:val="none" w:sz="0" w:space="0" w:color="auto"/>
      </w:divBdr>
    </w:div>
    <w:div w:id="319577082">
      <w:bodyDiv w:val="1"/>
      <w:marLeft w:val="0"/>
      <w:marRight w:val="0"/>
      <w:marTop w:val="0"/>
      <w:marBottom w:val="0"/>
      <w:divBdr>
        <w:top w:val="none" w:sz="0" w:space="0" w:color="auto"/>
        <w:left w:val="none" w:sz="0" w:space="0" w:color="auto"/>
        <w:bottom w:val="none" w:sz="0" w:space="0" w:color="auto"/>
        <w:right w:val="none" w:sz="0" w:space="0" w:color="auto"/>
      </w:divBdr>
    </w:div>
    <w:div w:id="462045442">
      <w:bodyDiv w:val="1"/>
      <w:marLeft w:val="0"/>
      <w:marRight w:val="0"/>
      <w:marTop w:val="0"/>
      <w:marBottom w:val="0"/>
      <w:divBdr>
        <w:top w:val="none" w:sz="0" w:space="0" w:color="auto"/>
        <w:left w:val="none" w:sz="0" w:space="0" w:color="auto"/>
        <w:bottom w:val="none" w:sz="0" w:space="0" w:color="auto"/>
        <w:right w:val="none" w:sz="0" w:space="0" w:color="auto"/>
      </w:divBdr>
    </w:div>
    <w:div w:id="740099831">
      <w:bodyDiv w:val="1"/>
      <w:marLeft w:val="0"/>
      <w:marRight w:val="0"/>
      <w:marTop w:val="0"/>
      <w:marBottom w:val="0"/>
      <w:divBdr>
        <w:top w:val="none" w:sz="0" w:space="0" w:color="auto"/>
        <w:left w:val="none" w:sz="0" w:space="0" w:color="auto"/>
        <w:bottom w:val="none" w:sz="0" w:space="0" w:color="auto"/>
        <w:right w:val="none" w:sz="0" w:space="0" w:color="auto"/>
      </w:divBdr>
      <w:divsChild>
        <w:div w:id="1826124593">
          <w:marLeft w:val="0"/>
          <w:marRight w:val="0"/>
          <w:marTop w:val="0"/>
          <w:marBottom w:val="0"/>
          <w:divBdr>
            <w:top w:val="none" w:sz="0" w:space="0" w:color="auto"/>
            <w:left w:val="none" w:sz="0" w:space="0" w:color="auto"/>
            <w:bottom w:val="none" w:sz="0" w:space="0" w:color="auto"/>
            <w:right w:val="none" w:sz="0" w:space="0" w:color="auto"/>
          </w:divBdr>
        </w:div>
        <w:div w:id="1511799199">
          <w:marLeft w:val="0"/>
          <w:marRight w:val="0"/>
          <w:marTop w:val="0"/>
          <w:marBottom w:val="0"/>
          <w:divBdr>
            <w:top w:val="none" w:sz="0" w:space="0" w:color="auto"/>
            <w:left w:val="none" w:sz="0" w:space="0" w:color="auto"/>
            <w:bottom w:val="none" w:sz="0" w:space="0" w:color="auto"/>
            <w:right w:val="none" w:sz="0" w:space="0" w:color="auto"/>
          </w:divBdr>
        </w:div>
      </w:divsChild>
    </w:div>
    <w:div w:id="776289130">
      <w:bodyDiv w:val="1"/>
      <w:marLeft w:val="0"/>
      <w:marRight w:val="0"/>
      <w:marTop w:val="0"/>
      <w:marBottom w:val="0"/>
      <w:divBdr>
        <w:top w:val="none" w:sz="0" w:space="0" w:color="auto"/>
        <w:left w:val="none" w:sz="0" w:space="0" w:color="auto"/>
        <w:bottom w:val="none" w:sz="0" w:space="0" w:color="auto"/>
        <w:right w:val="none" w:sz="0" w:space="0" w:color="auto"/>
      </w:divBdr>
      <w:divsChild>
        <w:div w:id="1017536086">
          <w:marLeft w:val="0"/>
          <w:marRight w:val="0"/>
          <w:marTop w:val="0"/>
          <w:marBottom w:val="0"/>
          <w:divBdr>
            <w:top w:val="none" w:sz="0" w:space="0" w:color="auto"/>
            <w:left w:val="none" w:sz="0" w:space="0" w:color="auto"/>
            <w:bottom w:val="none" w:sz="0" w:space="0" w:color="auto"/>
            <w:right w:val="none" w:sz="0" w:space="0" w:color="auto"/>
          </w:divBdr>
        </w:div>
        <w:div w:id="804738882">
          <w:marLeft w:val="0"/>
          <w:marRight w:val="0"/>
          <w:marTop w:val="0"/>
          <w:marBottom w:val="0"/>
          <w:divBdr>
            <w:top w:val="none" w:sz="0" w:space="0" w:color="auto"/>
            <w:left w:val="none" w:sz="0" w:space="0" w:color="auto"/>
            <w:bottom w:val="none" w:sz="0" w:space="0" w:color="auto"/>
            <w:right w:val="none" w:sz="0" w:space="0" w:color="auto"/>
          </w:divBdr>
        </w:div>
      </w:divsChild>
    </w:div>
    <w:div w:id="1157527308">
      <w:bodyDiv w:val="1"/>
      <w:marLeft w:val="0"/>
      <w:marRight w:val="0"/>
      <w:marTop w:val="0"/>
      <w:marBottom w:val="0"/>
      <w:divBdr>
        <w:top w:val="none" w:sz="0" w:space="0" w:color="auto"/>
        <w:left w:val="none" w:sz="0" w:space="0" w:color="auto"/>
        <w:bottom w:val="none" w:sz="0" w:space="0" w:color="auto"/>
        <w:right w:val="none" w:sz="0" w:space="0" w:color="auto"/>
      </w:divBdr>
    </w:div>
    <w:div w:id="1274747607">
      <w:bodyDiv w:val="1"/>
      <w:marLeft w:val="0"/>
      <w:marRight w:val="0"/>
      <w:marTop w:val="0"/>
      <w:marBottom w:val="0"/>
      <w:divBdr>
        <w:top w:val="none" w:sz="0" w:space="0" w:color="auto"/>
        <w:left w:val="none" w:sz="0" w:space="0" w:color="auto"/>
        <w:bottom w:val="none" w:sz="0" w:space="0" w:color="auto"/>
        <w:right w:val="none" w:sz="0" w:space="0" w:color="auto"/>
      </w:divBdr>
    </w:div>
    <w:div w:id="1468164413">
      <w:bodyDiv w:val="1"/>
      <w:marLeft w:val="0"/>
      <w:marRight w:val="0"/>
      <w:marTop w:val="0"/>
      <w:marBottom w:val="0"/>
      <w:divBdr>
        <w:top w:val="none" w:sz="0" w:space="0" w:color="auto"/>
        <w:left w:val="none" w:sz="0" w:space="0" w:color="auto"/>
        <w:bottom w:val="none" w:sz="0" w:space="0" w:color="auto"/>
        <w:right w:val="none" w:sz="0" w:space="0" w:color="auto"/>
      </w:divBdr>
    </w:div>
    <w:div w:id="1522433398">
      <w:bodyDiv w:val="1"/>
      <w:marLeft w:val="0"/>
      <w:marRight w:val="0"/>
      <w:marTop w:val="0"/>
      <w:marBottom w:val="0"/>
      <w:divBdr>
        <w:top w:val="none" w:sz="0" w:space="0" w:color="auto"/>
        <w:left w:val="none" w:sz="0" w:space="0" w:color="auto"/>
        <w:bottom w:val="none" w:sz="0" w:space="0" w:color="auto"/>
        <w:right w:val="none" w:sz="0" w:space="0" w:color="auto"/>
      </w:divBdr>
    </w:div>
    <w:div w:id="1715733994">
      <w:bodyDiv w:val="1"/>
      <w:marLeft w:val="0"/>
      <w:marRight w:val="0"/>
      <w:marTop w:val="0"/>
      <w:marBottom w:val="0"/>
      <w:divBdr>
        <w:top w:val="none" w:sz="0" w:space="0" w:color="auto"/>
        <w:left w:val="none" w:sz="0" w:space="0" w:color="auto"/>
        <w:bottom w:val="none" w:sz="0" w:space="0" w:color="auto"/>
        <w:right w:val="none" w:sz="0" w:space="0" w:color="auto"/>
      </w:divBdr>
    </w:div>
    <w:div w:id="1733578310">
      <w:bodyDiv w:val="1"/>
      <w:marLeft w:val="0"/>
      <w:marRight w:val="0"/>
      <w:marTop w:val="0"/>
      <w:marBottom w:val="0"/>
      <w:divBdr>
        <w:top w:val="none" w:sz="0" w:space="0" w:color="auto"/>
        <w:left w:val="none" w:sz="0" w:space="0" w:color="auto"/>
        <w:bottom w:val="none" w:sz="0" w:space="0" w:color="auto"/>
        <w:right w:val="none" w:sz="0" w:space="0" w:color="auto"/>
      </w:divBdr>
    </w:div>
    <w:div w:id="1925340289">
      <w:bodyDiv w:val="1"/>
      <w:marLeft w:val="0"/>
      <w:marRight w:val="0"/>
      <w:marTop w:val="0"/>
      <w:marBottom w:val="0"/>
      <w:divBdr>
        <w:top w:val="none" w:sz="0" w:space="0" w:color="auto"/>
        <w:left w:val="none" w:sz="0" w:space="0" w:color="auto"/>
        <w:bottom w:val="none" w:sz="0" w:space="0" w:color="auto"/>
        <w:right w:val="none" w:sz="0" w:space="0" w:color="auto"/>
      </w:divBdr>
    </w:div>
    <w:div w:id="202967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CBC - Word" ma:contentTypeID="0x010100F62BDD624346DE44BD667E2A6833A2F300862640209B644F4895065309B47E0E5F" ma:contentTypeVersion="2" ma:contentTypeDescription="" ma:contentTypeScope="" ma:versionID="ca6ace856bc931b3497659b74ca2790e">
  <xsd:schema xmlns:xsd="http://www.w3.org/2001/XMLSchema" xmlns:xs="http://www.w3.org/2001/XMLSchema" xmlns:p="http://schemas.microsoft.com/office/2006/metadata/properties" xmlns:ns2="c40dd51c-0b93-41a3-8ce1-c0167702c6fe" targetNamespace="http://schemas.microsoft.com/office/2006/metadata/properties" ma:root="true" ma:fieldsID="1611bd98a90b787d2eafa623b5d82f38"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5d2c57-1183-427d-a604-2e0ffdafb2d4" ContentTypeId="0x010100F62BDD624346DE44BD667E2A6833A2F3" PreviousValue="false" LastSyncTimeStamp="2023-08-31T09:40:33.48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
  </documentManagement>
</p:properties>
</file>

<file path=customXml/itemProps1.xml><?xml version="1.0" encoding="utf-8"?>
<ds:datastoreItem xmlns:ds="http://schemas.openxmlformats.org/officeDocument/2006/customXml" ds:itemID="{2A4A7F58-1692-44D7-BC88-21558C2AA486}"/>
</file>

<file path=customXml/itemProps2.xml><?xml version="1.0" encoding="utf-8"?>
<ds:datastoreItem xmlns:ds="http://schemas.openxmlformats.org/officeDocument/2006/customXml" ds:itemID="{2A3C4C5B-10FC-473B-AD05-406F14260C99}"/>
</file>

<file path=customXml/itemProps3.xml><?xml version="1.0" encoding="utf-8"?>
<ds:datastoreItem xmlns:ds="http://schemas.openxmlformats.org/officeDocument/2006/customXml" ds:itemID="{23B8E986-E4D0-42FF-8C11-54E6B498268A}"/>
</file>

<file path=customXml/itemProps4.xml><?xml version="1.0" encoding="utf-8"?>
<ds:datastoreItem xmlns:ds="http://schemas.openxmlformats.org/officeDocument/2006/customXml" ds:itemID="{0AC5BB59-D2A8-4DA8-A776-44B9ABA15EF4}"/>
</file>

<file path=docProps/app.xml><?xml version="1.0" encoding="utf-8"?>
<Properties xmlns="http://schemas.openxmlformats.org/officeDocument/2006/extended-properties" xmlns:vt="http://schemas.openxmlformats.org/officeDocument/2006/docPropsVTypes">
  <Template>Normal</Template>
  <TotalTime>0</TotalTime>
  <Pages>1</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Natalie</dc:creator>
  <cp:keywords/>
  <dc:description/>
  <cp:lastModifiedBy>Honeywill, Steven</cp:lastModifiedBy>
  <cp:revision>1</cp:revision>
  <dcterms:created xsi:type="dcterms:W3CDTF">2025-03-18T22:10:00Z</dcterms:created>
  <dcterms:modified xsi:type="dcterms:W3CDTF">2025-03-18T22:10:00Z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2024-10-14T08:26:33Z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e06c3e26-a2ea-4c61-8cc7-6d4354896a0c</vt:lpwstr>
  </property>
  <property fmtid="{D5CDD505-2E9C-101B-9397-08002B2CF9AE}" pid="8" name="MSIP_Label_f2acd28b-79a3-4a0f-b0ff-4b75658b1549_ContentBits">
    <vt:lpwstr>0</vt:lpwstr>
  </property>
  <property fmtid="{D5CDD505-2E9C-101B-9397-08002B2CF9AE}" pid="9" name="ContentTypeId">
    <vt:lpwstr>0x010100F62BDD624346DE44BD667E2A6833A2F300862640209B644F4895065309B47E0E5F</vt:lpwstr>
  </property>
</Properties>
</file>