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588D" w:rsidP="00FF6F4B" w:rsidRDefault="001A588D" w14:paraId="231A32E4" w14:textId="5FFAB520">
      <w:pPr>
        <w:rPr>
          <w:rFonts w:ascii="Arial" w:hAnsi="Arial" w:cs="Arial"/>
          <w:b/>
          <w:lang w:val="en-US"/>
        </w:rPr>
      </w:pPr>
      <w:bookmarkStart w:name="_Hlk80715235" w:id="0"/>
    </w:p>
    <w:p w:rsidRPr="001A588D" w:rsidR="001A588D" w:rsidP="001A588D" w:rsidRDefault="001A588D" w14:paraId="135B77A1" w14:textId="77777777">
      <w:pPr>
        <w:jc w:val="both"/>
        <w:rPr>
          <w:rFonts w:ascii="Arial" w:hAnsi="Arial" w:cs="Arial"/>
          <w:lang w:val="en-US"/>
        </w:rPr>
      </w:pPr>
    </w:p>
    <w:bookmarkEnd w:id="0"/>
    <w:p w:rsidR="001A588D" w:rsidP="008A72CC" w:rsidRDefault="001A588D" w14:paraId="7233C407" w14:textId="215ED45F">
      <w:pPr>
        <w:ind w:left="1440" w:hanging="1440"/>
        <w:rPr>
          <w:rFonts w:ascii="Arial" w:hAnsi="Arial" w:cs="Arial"/>
          <w:b/>
          <w:bCs/>
          <w:lang w:val="en-US"/>
        </w:rPr>
      </w:pPr>
      <w:r w:rsidRPr="2D479C8F">
        <w:rPr>
          <w:rFonts w:ascii="Arial" w:hAnsi="Arial" w:cs="Arial"/>
          <w:b/>
          <w:bCs/>
          <w:lang w:val="en-US"/>
        </w:rPr>
        <w:t xml:space="preserve">SUBJECT: </w:t>
      </w:r>
      <w:r w:rsidR="00CF670C">
        <w:rPr>
          <w:rFonts w:ascii="Arial" w:hAnsi="Arial" w:cs="Arial"/>
          <w:b/>
          <w:bCs/>
          <w:lang w:val="en-US"/>
        </w:rPr>
        <w:tab/>
      </w:r>
      <w:r w:rsidRPr="008A72CC" w:rsidR="008A72CC">
        <w:rPr>
          <w:rFonts w:ascii="Arial" w:hAnsi="Arial" w:cs="Arial"/>
          <w:b/>
          <w:bCs/>
          <w:lang w:val="en-US"/>
        </w:rPr>
        <w:t>Everyone Lives in a Place they Feel Safe: Community</w:t>
      </w:r>
      <w:r w:rsidR="008A72CC">
        <w:rPr>
          <w:rFonts w:ascii="Arial" w:hAnsi="Arial" w:cs="Arial"/>
          <w:b/>
          <w:bCs/>
          <w:lang w:val="en-US"/>
        </w:rPr>
        <w:t xml:space="preserve"> </w:t>
      </w:r>
      <w:r w:rsidRPr="008A72CC" w:rsidR="008A72CC">
        <w:rPr>
          <w:rFonts w:ascii="Arial" w:hAnsi="Arial" w:cs="Arial"/>
          <w:b/>
          <w:bCs/>
          <w:lang w:val="en-US"/>
        </w:rPr>
        <w:t>Safety Review &amp; Strategic Safe Communities Partnership Board</w:t>
      </w:r>
    </w:p>
    <w:p w:rsidR="00CF670C" w:rsidP="00CF670C" w:rsidRDefault="00CF670C" w14:paraId="2F289AB4" w14:textId="43C3AEE7">
      <w:pPr>
        <w:ind w:left="1440" w:hanging="1440"/>
        <w:jc w:val="both"/>
        <w:rPr>
          <w:rFonts w:ascii="Arial" w:hAnsi="Arial" w:cs="Arial"/>
          <w:b/>
          <w:bCs/>
          <w:lang w:val="en-US"/>
        </w:rPr>
      </w:pPr>
    </w:p>
    <w:p w:rsidR="00CF670C" w:rsidP="00CF670C" w:rsidRDefault="00CF670C" w14:paraId="4519A0A5" w14:textId="780DB1D3">
      <w:pPr>
        <w:ind w:left="1440" w:hanging="1440"/>
        <w:jc w:val="both"/>
        <w:rPr>
          <w:rFonts w:ascii="Arial" w:hAnsi="Arial" w:cs="Arial"/>
          <w:b w:val="1"/>
          <w:bCs w:val="1"/>
          <w:lang w:val="en-US"/>
        </w:rPr>
      </w:pPr>
      <w:r w:rsidRPr="2E90BE59" w:rsidR="00CF670C">
        <w:rPr>
          <w:rFonts w:ascii="Arial" w:hAnsi="Arial" w:cs="Arial"/>
          <w:b w:val="1"/>
          <w:bCs w:val="1"/>
          <w:lang w:val="en-US"/>
        </w:rPr>
        <w:t>MEETING:</w:t>
      </w:r>
      <w:r>
        <w:tab/>
      </w:r>
      <w:r w:rsidRPr="2E90BE59" w:rsidR="00CF670C">
        <w:rPr>
          <w:rFonts w:ascii="Arial" w:hAnsi="Arial" w:cs="Arial"/>
          <w:b w:val="1"/>
          <w:bCs w:val="1"/>
          <w:lang w:val="en-US"/>
        </w:rPr>
        <w:t>Gwent Public Services Board</w:t>
      </w:r>
    </w:p>
    <w:p w:rsidR="00CF670C" w:rsidP="00CF670C" w:rsidRDefault="00CF670C" w14:paraId="0717DD3E" w14:textId="0E474CFE">
      <w:pPr>
        <w:ind w:left="1440" w:hanging="1440"/>
        <w:jc w:val="both"/>
        <w:rPr>
          <w:rFonts w:ascii="Arial" w:hAnsi="Arial" w:cs="Arial"/>
          <w:b/>
          <w:bCs/>
          <w:lang w:val="en-US"/>
        </w:rPr>
      </w:pPr>
    </w:p>
    <w:p w:rsidR="00CF670C" w:rsidP="00CF670C" w:rsidRDefault="00CF670C" w14:paraId="60617554" w14:textId="4E060020">
      <w:pPr>
        <w:ind w:left="1440" w:hanging="14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DATE:</w:t>
      </w:r>
      <w:r w:rsidR="008362DF">
        <w:rPr>
          <w:rFonts w:ascii="Arial" w:hAnsi="Arial" w:cs="Arial"/>
          <w:b/>
          <w:bCs/>
          <w:lang w:val="en-US"/>
        </w:rPr>
        <w:t xml:space="preserve"> </w:t>
      </w:r>
      <w:r w:rsidR="008A72CC">
        <w:rPr>
          <w:rFonts w:ascii="Arial" w:hAnsi="Arial" w:cs="Arial"/>
          <w:b/>
          <w:bCs/>
          <w:lang w:val="en-US"/>
        </w:rPr>
        <w:tab/>
      </w:r>
      <w:r w:rsidR="008A72CC">
        <w:rPr>
          <w:rFonts w:ascii="Arial" w:hAnsi="Arial" w:cs="Arial"/>
          <w:b/>
          <w:bCs/>
          <w:lang w:val="en-US"/>
        </w:rPr>
        <w:t>27</w:t>
      </w:r>
      <w:r w:rsidR="008362DF">
        <w:rPr>
          <w:rFonts w:ascii="Arial" w:hAnsi="Arial" w:cs="Arial"/>
          <w:b/>
          <w:bCs/>
          <w:lang w:val="en-US"/>
        </w:rPr>
        <w:t>/03/25</w:t>
      </w:r>
      <w:r>
        <w:rPr>
          <w:rFonts w:ascii="Arial" w:hAnsi="Arial" w:cs="Arial"/>
          <w:b/>
          <w:bCs/>
          <w:lang w:val="en-US"/>
        </w:rPr>
        <w:tab/>
      </w:r>
    </w:p>
    <w:p w:rsidRPr="001A588D" w:rsidR="00957E14" w:rsidP="001A588D" w:rsidRDefault="00957E14" w14:paraId="2BB4AA2E" w14:textId="77777777">
      <w:pPr>
        <w:jc w:val="both"/>
        <w:rPr>
          <w:rFonts w:ascii="Arial" w:hAnsi="Arial" w:cs="Arial"/>
          <w:i/>
          <w:lang w:val="en-US"/>
        </w:rPr>
      </w:pPr>
    </w:p>
    <w:p w:rsidR="001A588D" w:rsidP="001A588D" w:rsidRDefault="001A588D" w14:paraId="46F43B93" w14:textId="42AED7CA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9310CA">
        <w:rPr>
          <w:rFonts w:ascii="Arial" w:hAnsi="Arial" w:cs="Arial"/>
          <w:i/>
          <w:sz w:val="22"/>
          <w:szCs w:val="22"/>
          <w:lang w:val="en-US"/>
        </w:rPr>
        <w:t>Report written and submitted by:</w:t>
      </w:r>
      <w:r w:rsidR="006E0646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8362DF">
        <w:rPr>
          <w:rFonts w:ascii="Arial" w:hAnsi="Arial" w:cs="Arial"/>
          <w:i/>
          <w:sz w:val="22"/>
          <w:szCs w:val="22"/>
          <w:lang w:val="en-US"/>
        </w:rPr>
        <w:t>Sam Slater, Head of Strategy, Gwent OPCC</w:t>
      </w:r>
      <w:r w:rsidR="00147444">
        <w:rPr>
          <w:rFonts w:ascii="Arial" w:hAnsi="Arial" w:cs="Arial"/>
          <w:i/>
          <w:sz w:val="22"/>
          <w:szCs w:val="22"/>
          <w:lang w:val="en-US"/>
        </w:rPr>
        <w:t>, on behalf of the Police and Crime Commissioner</w:t>
      </w:r>
    </w:p>
    <w:p w:rsidRPr="009310CA" w:rsidR="00167A84" w:rsidP="001A588D" w:rsidRDefault="00167A84" w14:paraId="0ECF3565" w14:textId="77777777">
      <w:pPr>
        <w:jc w:val="both"/>
        <w:rPr>
          <w:rFonts w:ascii="Arial" w:hAnsi="Arial" w:cs="Arial"/>
          <w:i/>
          <w:sz w:val="22"/>
          <w:szCs w:val="22"/>
          <w:lang w:val="en-US"/>
        </w:rPr>
      </w:pPr>
    </w:p>
    <w:p w:rsidRPr="009310CA" w:rsidR="00866B8E" w:rsidP="00866B8E" w:rsidRDefault="00866B8E" w14:paraId="0A879B30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5"/>
        <w:gridCol w:w="8586"/>
      </w:tblGrid>
      <w:tr w:rsidRPr="001A588D" w:rsidR="007D4909" w:rsidTr="462FDBF9" w14:paraId="6F20AEE6" w14:textId="77777777">
        <w:tc>
          <w:tcPr>
            <w:tcW w:w="765" w:type="dxa"/>
            <w:tcMar/>
          </w:tcPr>
          <w:p w:rsidRPr="001A588D" w:rsidR="001A588D" w:rsidRDefault="001A588D" w14:paraId="722CCBF1" w14:textId="6B351E4C">
            <w:pPr>
              <w:rPr>
                <w:rFonts w:ascii="Arial" w:hAnsi="Arial" w:cs="Arial"/>
                <w:b/>
                <w:bCs/>
              </w:rPr>
            </w:pPr>
            <w:r w:rsidRPr="001A588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86" w:type="dxa"/>
            <w:tcMar/>
          </w:tcPr>
          <w:p w:rsidRPr="001A588D" w:rsidR="001A588D" w:rsidRDefault="001A588D" w14:paraId="3B98C740" w14:textId="00E4092D">
            <w:pPr>
              <w:rPr>
                <w:rFonts w:ascii="Arial" w:hAnsi="Arial" w:cs="Arial"/>
                <w:b/>
                <w:bCs/>
              </w:rPr>
            </w:pPr>
            <w:r w:rsidRPr="001A588D">
              <w:rPr>
                <w:rFonts w:ascii="Arial" w:hAnsi="Arial" w:cs="Arial"/>
                <w:b/>
                <w:bCs/>
              </w:rPr>
              <w:t>Areas Affected</w:t>
            </w:r>
          </w:p>
        </w:tc>
      </w:tr>
      <w:tr w:rsidRPr="001A588D" w:rsidR="007D4909" w:rsidTr="462FDBF9" w14:paraId="6B467C1A" w14:textId="77777777">
        <w:tc>
          <w:tcPr>
            <w:tcW w:w="765" w:type="dxa"/>
            <w:tcMar/>
          </w:tcPr>
          <w:p w:rsidRPr="001A588D" w:rsidR="001A588D" w:rsidRDefault="001A588D" w14:paraId="53E2A6CA" w14:textId="77777777">
            <w:pPr>
              <w:rPr>
                <w:rFonts w:ascii="Arial" w:hAnsi="Arial" w:cs="Arial"/>
              </w:rPr>
            </w:pPr>
          </w:p>
        </w:tc>
        <w:tc>
          <w:tcPr>
            <w:tcW w:w="8586" w:type="dxa"/>
            <w:tcMar/>
          </w:tcPr>
          <w:p w:rsidRPr="001A588D" w:rsidR="001A588D" w:rsidRDefault="001A588D" w14:paraId="39256954" w14:textId="77777777">
            <w:pPr>
              <w:rPr>
                <w:rFonts w:ascii="Arial" w:hAnsi="Arial" w:cs="Arial"/>
              </w:rPr>
            </w:pPr>
          </w:p>
        </w:tc>
      </w:tr>
      <w:tr w:rsidRPr="001A588D" w:rsidR="007D4909" w:rsidTr="462FDBF9" w14:paraId="7C80812C" w14:textId="77777777">
        <w:tc>
          <w:tcPr>
            <w:tcW w:w="765" w:type="dxa"/>
            <w:tcMar/>
          </w:tcPr>
          <w:p w:rsidR="001A588D" w:rsidRDefault="001A588D" w14:paraId="3266957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F0B5F">
              <w:rPr>
                <w:rFonts w:ascii="Arial" w:hAnsi="Arial" w:cs="Arial"/>
                <w:sz w:val="22"/>
                <w:szCs w:val="22"/>
              </w:rPr>
              <w:t>1.1</w:t>
            </w:r>
          </w:p>
          <w:p w:rsidR="00886F62" w:rsidRDefault="00886F62" w14:paraId="504D800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86F62" w:rsidRDefault="00886F62" w14:paraId="4920502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86F62" w:rsidRDefault="00886F62" w14:paraId="3B73AE77" w14:textId="2F42C8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  <w:p w:rsidR="00886F62" w:rsidRDefault="00886F62" w14:paraId="21A66AFD" w14:textId="77777777">
            <w:pPr>
              <w:rPr>
                <w:rFonts w:ascii="Arial" w:hAnsi="Arial" w:cs="Arial"/>
              </w:rPr>
            </w:pPr>
          </w:p>
          <w:p w:rsidRPr="001A588D" w:rsidR="00886F62" w:rsidRDefault="00886F62" w14:paraId="1B7A45D7" w14:textId="7506A9F4">
            <w:pPr>
              <w:rPr>
                <w:rFonts w:ascii="Arial" w:hAnsi="Arial" w:cs="Arial"/>
              </w:rPr>
            </w:pPr>
          </w:p>
        </w:tc>
        <w:tc>
          <w:tcPr>
            <w:tcW w:w="8586" w:type="dxa"/>
            <w:tcMar/>
          </w:tcPr>
          <w:p w:rsidR="00886F62" w:rsidP="007657A5" w:rsidRDefault="00886F62" w14:paraId="422CE461" w14:textId="2855316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Geographically, this affects the whole of Gwent and all PSB member </w:t>
            </w:r>
            <w:proofErr w:type="spellStart"/>
            <w:r>
              <w:rPr>
                <w:rFonts w:ascii="Arial" w:hAnsi="Arial" w:cs="Arial"/>
                <w:lang w:val="en-US"/>
              </w:rPr>
              <w:t>organisations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  <w:p w:rsidR="00886F62" w:rsidP="007657A5" w:rsidRDefault="00886F62" w14:paraId="3B953CF0" w14:textId="77777777">
            <w:pPr>
              <w:rPr>
                <w:rFonts w:ascii="Arial" w:hAnsi="Arial" w:cs="Arial"/>
                <w:lang w:val="en-US"/>
              </w:rPr>
            </w:pPr>
          </w:p>
          <w:p w:rsidRPr="008362DF" w:rsidR="008362DF" w:rsidP="007657A5" w:rsidRDefault="00886F62" w14:paraId="3CD618C1" w14:textId="4E940D0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Pr="008362DF" w:rsidR="008362DF">
              <w:rPr>
                <w:rFonts w:ascii="Arial" w:hAnsi="Arial" w:cs="Arial"/>
                <w:lang w:val="en-US"/>
              </w:rPr>
              <w:t>he</w:t>
            </w:r>
            <w:r>
              <w:rPr>
                <w:rFonts w:ascii="Arial" w:hAnsi="Arial" w:cs="Arial"/>
                <w:lang w:val="en-US"/>
              </w:rPr>
              <w:t>matically, this addresses the</w:t>
            </w:r>
            <w:r w:rsidRPr="008362DF" w:rsidR="008362DF">
              <w:rPr>
                <w:rFonts w:ascii="Arial" w:hAnsi="Arial" w:cs="Arial"/>
                <w:lang w:val="en-US"/>
              </w:rPr>
              <w:t xml:space="preserve"> </w:t>
            </w:r>
            <w:r w:rsidR="00922CC1">
              <w:rPr>
                <w:rFonts w:ascii="Arial" w:hAnsi="Arial" w:cs="Arial"/>
                <w:lang w:val="en-US"/>
              </w:rPr>
              <w:t xml:space="preserve">Gwent </w:t>
            </w:r>
            <w:r w:rsidR="00D87CC5">
              <w:rPr>
                <w:rFonts w:ascii="Arial" w:hAnsi="Arial" w:cs="Arial"/>
                <w:lang w:val="en-US"/>
              </w:rPr>
              <w:t xml:space="preserve">Wellbeing Plan </w:t>
            </w:r>
            <w:r w:rsidRPr="008362DF" w:rsidR="008362DF">
              <w:rPr>
                <w:rFonts w:ascii="Arial" w:hAnsi="Arial" w:cs="Arial"/>
                <w:lang w:val="en-US"/>
              </w:rPr>
              <w:t xml:space="preserve">priority </w:t>
            </w:r>
            <w:r w:rsidR="008362DF">
              <w:rPr>
                <w:rFonts w:ascii="Arial" w:hAnsi="Arial" w:cs="Arial"/>
                <w:lang w:val="en-US"/>
              </w:rPr>
              <w:t>‘</w:t>
            </w:r>
            <w:r w:rsidR="001F329A">
              <w:rPr>
                <w:rFonts w:ascii="Arial" w:hAnsi="Arial" w:cs="Arial"/>
                <w:lang w:val="en-US"/>
              </w:rPr>
              <w:t>everyone lives in</w:t>
            </w:r>
            <w:r w:rsidRPr="008362DF" w:rsidR="008362DF">
              <w:rPr>
                <w:rFonts w:ascii="Arial" w:hAnsi="Arial" w:cs="Arial"/>
                <w:lang w:val="en-US"/>
              </w:rPr>
              <w:t xml:space="preserve"> a place they feel safe</w:t>
            </w:r>
            <w:r w:rsidR="001F329A">
              <w:rPr>
                <w:rFonts w:ascii="Arial" w:hAnsi="Arial" w:cs="Arial"/>
                <w:lang w:val="en-US"/>
              </w:rPr>
              <w:t>’</w:t>
            </w:r>
            <w:r w:rsidR="008362DF">
              <w:rPr>
                <w:rFonts w:ascii="Arial" w:hAnsi="Arial" w:cs="Arial"/>
                <w:lang w:val="en-US"/>
              </w:rPr>
              <w:t xml:space="preserve"> and the Gwent Community Safety Review, commissioned by the P</w:t>
            </w:r>
            <w:r w:rsidR="00D87CC5">
              <w:rPr>
                <w:rFonts w:ascii="Arial" w:hAnsi="Arial" w:cs="Arial"/>
                <w:lang w:val="en-US"/>
              </w:rPr>
              <w:t>SB</w:t>
            </w:r>
            <w:r w:rsidR="008362DF">
              <w:rPr>
                <w:rFonts w:ascii="Arial" w:hAnsi="Arial" w:cs="Arial"/>
                <w:lang w:val="en-US"/>
              </w:rPr>
              <w:t>.</w:t>
            </w:r>
          </w:p>
        </w:tc>
      </w:tr>
      <w:tr w:rsidRPr="001A588D" w:rsidR="007D4909" w:rsidTr="462FDBF9" w14:paraId="0A9740D9" w14:textId="77777777">
        <w:tc>
          <w:tcPr>
            <w:tcW w:w="765" w:type="dxa"/>
            <w:tcMar/>
          </w:tcPr>
          <w:p w:rsidRPr="001A588D" w:rsidR="001A588D" w:rsidRDefault="001A588D" w14:paraId="2F3BA0BC" w14:textId="77777777">
            <w:pPr>
              <w:rPr>
                <w:rFonts w:ascii="Arial" w:hAnsi="Arial" w:cs="Arial"/>
              </w:rPr>
            </w:pPr>
          </w:p>
        </w:tc>
        <w:tc>
          <w:tcPr>
            <w:tcW w:w="8586" w:type="dxa"/>
            <w:tcMar/>
          </w:tcPr>
          <w:p w:rsidRPr="00B92A78" w:rsidR="001A588D" w:rsidRDefault="001A588D" w14:paraId="1D9224B7" w14:textId="77777777">
            <w:pPr>
              <w:rPr>
                <w:rFonts w:ascii="Arial" w:hAnsi="Arial" w:cs="Arial"/>
              </w:rPr>
            </w:pPr>
          </w:p>
        </w:tc>
      </w:tr>
      <w:tr w:rsidRPr="001A588D" w:rsidR="007D4909" w:rsidTr="462FDBF9" w14:paraId="5FB9EEBA" w14:textId="77777777">
        <w:tc>
          <w:tcPr>
            <w:tcW w:w="765" w:type="dxa"/>
            <w:tcMar/>
          </w:tcPr>
          <w:p w:rsidRPr="001A588D" w:rsidR="001A588D" w:rsidRDefault="001A588D" w14:paraId="31ED8A43" w14:textId="051755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586" w:type="dxa"/>
            <w:tcMar/>
          </w:tcPr>
          <w:p w:rsidRPr="00B92A78" w:rsidR="001A588D" w:rsidP="007657A5" w:rsidRDefault="001A588D" w14:paraId="00DE0030" w14:textId="64F2E608">
            <w:pPr>
              <w:rPr>
                <w:rFonts w:ascii="Arial" w:hAnsi="Arial" w:cs="Arial"/>
                <w:b/>
                <w:bCs/>
              </w:rPr>
            </w:pPr>
            <w:r w:rsidRPr="00B92A78">
              <w:rPr>
                <w:rFonts w:ascii="Arial" w:hAnsi="Arial" w:cs="Arial"/>
                <w:b/>
                <w:bCs/>
              </w:rPr>
              <w:t>Purpose of Report</w:t>
            </w:r>
            <w:r w:rsidRPr="00B92A78" w:rsidR="00866B8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Pr="001A588D" w:rsidR="007D4909" w:rsidTr="462FDBF9" w14:paraId="4ADCF351" w14:textId="77777777">
        <w:tc>
          <w:tcPr>
            <w:tcW w:w="765" w:type="dxa"/>
            <w:tcMar/>
          </w:tcPr>
          <w:p w:rsidR="001A588D" w:rsidRDefault="001A588D" w14:paraId="2C36D67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86" w:type="dxa"/>
            <w:tcMar/>
          </w:tcPr>
          <w:p w:rsidRPr="00B92A78" w:rsidR="001A588D" w:rsidP="0045777C" w:rsidRDefault="001A588D" w14:paraId="4ECDDE7B" w14:textId="77777777">
            <w:pPr>
              <w:rPr>
                <w:rFonts w:ascii="Arial" w:hAnsi="Arial" w:cs="Arial"/>
              </w:rPr>
            </w:pPr>
          </w:p>
        </w:tc>
      </w:tr>
      <w:tr w:rsidRPr="001A588D" w:rsidR="007D4909" w:rsidTr="462FDBF9" w14:paraId="29B3E913" w14:textId="77777777">
        <w:tc>
          <w:tcPr>
            <w:tcW w:w="765" w:type="dxa"/>
            <w:tcMar/>
          </w:tcPr>
          <w:p w:rsidR="001A588D" w:rsidRDefault="001A588D" w14:paraId="6F947EB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F0B5F">
              <w:rPr>
                <w:rFonts w:ascii="Arial" w:hAnsi="Arial" w:cs="Arial"/>
                <w:sz w:val="22"/>
                <w:szCs w:val="22"/>
              </w:rPr>
              <w:t>2.1</w:t>
            </w:r>
          </w:p>
          <w:p w:rsidR="001F329A" w:rsidRDefault="001F329A" w14:paraId="60D31924" w14:textId="77777777">
            <w:pPr>
              <w:rPr>
                <w:rFonts w:ascii="Arial" w:hAnsi="Arial" w:cs="Arial"/>
              </w:rPr>
            </w:pPr>
          </w:p>
          <w:p w:rsidR="001F329A" w:rsidRDefault="001F329A" w14:paraId="2FE9E57F" w14:textId="77777777">
            <w:pPr>
              <w:rPr>
                <w:rFonts w:ascii="Arial" w:hAnsi="Arial" w:cs="Arial"/>
              </w:rPr>
            </w:pPr>
          </w:p>
          <w:p w:rsidR="001F329A" w:rsidRDefault="001F329A" w14:paraId="56DA89E6" w14:textId="77777777">
            <w:pPr>
              <w:rPr>
                <w:rFonts w:ascii="Arial" w:hAnsi="Arial" w:cs="Arial"/>
              </w:rPr>
            </w:pPr>
          </w:p>
          <w:p w:rsidR="001F329A" w:rsidRDefault="001F329A" w14:paraId="438835C8" w14:textId="77777777">
            <w:pPr>
              <w:rPr>
                <w:rFonts w:ascii="Arial" w:hAnsi="Arial" w:cs="Arial"/>
              </w:rPr>
            </w:pPr>
          </w:p>
          <w:p w:rsidR="001F329A" w:rsidRDefault="001F329A" w14:paraId="7659D062" w14:textId="77777777">
            <w:pPr>
              <w:rPr>
                <w:rFonts w:ascii="Arial" w:hAnsi="Arial" w:cs="Arial"/>
              </w:rPr>
            </w:pPr>
          </w:p>
          <w:p w:rsidR="00CD01AF" w:rsidRDefault="00CD01AF" w14:paraId="05600AEA" w14:textId="77777777">
            <w:pPr>
              <w:rPr>
                <w:rFonts w:ascii="Arial" w:hAnsi="Arial" w:cs="Arial"/>
              </w:rPr>
            </w:pPr>
          </w:p>
          <w:p w:rsidRPr="001A588D" w:rsidR="001F329A" w:rsidRDefault="001F329A" w14:paraId="1A5CA132" w14:textId="2CC7B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8586" w:type="dxa"/>
            <w:tcMar/>
          </w:tcPr>
          <w:p w:rsidR="001F329A" w:rsidP="00866B8E" w:rsidRDefault="008362DF" w14:paraId="739C8107" w14:textId="23CB9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report provides an update on progress against the above PSB priority</w:t>
            </w:r>
            <w:r w:rsidR="00C614FE">
              <w:rPr>
                <w:rFonts w:ascii="Arial" w:hAnsi="Arial" w:cs="Arial"/>
              </w:rPr>
              <w:t xml:space="preserve"> (hereafter called the ‘safer places’ priority)</w:t>
            </w:r>
            <w:r>
              <w:rPr>
                <w:rFonts w:ascii="Arial" w:hAnsi="Arial" w:cs="Arial"/>
              </w:rPr>
              <w:t xml:space="preserve">, alongside a set of </w:t>
            </w:r>
            <w:r w:rsidR="003703B4">
              <w:rPr>
                <w:rFonts w:ascii="Arial" w:hAnsi="Arial" w:cs="Arial"/>
              </w:rPr>
              <w:t>draft t</w:t>
            </w:r>
            <w:r>
              <w:rPr>
                <w:rFonts w:ascii="Arial" w:hAnsi="Arial" w:cs="Arial"/>
              </w:rPr>
              <w:t xml:space="preserve">erms of </w:t>
            </w:r>
            <w:r w:rsidR="003703B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eference for a new </w:t>
            </w:r>
            <w:r w:rsidR="001F329A">
              <w:rPr>
                <w:rFonts w:ascii="Arial" w:hAnsi="Arial" w:cs="Arial"/>
              </w:rPr>
              <w:t>Strategic Safer Communities Partnership Board. The development of this new partnership structure was a recommendation agreed by the PSB</w:t>
            </w:r>
            <w:r w:rsidR="00CD01AF">
              <w:rPr>
                <w:rFonts w:ascii="Arial" w:hAnsi="Arial" w:cs="Arial"/>
              </w:rPr>
              <w:t xml:space="preserve"> in September 2024</w:t>
            </w:r>
            <w:r w:rsidR="001F329A">
              <w:rPr>
                <w:rFonts w:ascii="Arial" w:hAnsi="Arial" w:cs="Arial"/>
              </w:rPr>
              <w:t xml:space="preserve"> following the Community Safety Review</w:t>
            </w:r>
            <w:r w:rsidR="00CD01AF">
              <w:rPr>
                <w:rFonts w:ascii="Arial" w:hAnsi="Arial" w:cs="Arial"/>
              </w:rPr>
              <w:t>. It</w:t>
            </w:r>
            <w:r w:rsidR="001F329A">
              <w:rPr>
                <w:rFonts w:ascii="Arial" w:hAnsi="Arial" w:cs="Arial"/>
              </w:rPr>
              <w:t xml:space="preserve"> will also </w:t>
            </w:r>
            <w:r w:rsidR="00641F88">
              <w:rPr>
                <w:rFonts w:ascii="Arial" w:hAnsi="Arial" w:cs="Arial"/>
              </w:rPr>
              <w:t xml:space="preserve">enable the delivery of </w:t>
            </w:r>
            <w:r w:rsidR="001F329A">
              <w:rPr>
                <w:rFonts w:ascii="Arial" w:hAnsi="Arial" w:cs="Arial"/>
              </w:rPr>
              <w:t xml:space="preserve">the </w:t>
            </w:r>
            <w:r w:rsidR="00C614FE">
              <w:rPr>
                <w:rFonts w:ascii="Arial" w:hAnsi="Arial" w:cs="Arial"/>
              </w:rPr>
              <w:t xml:space="preserve">safer </w:t>
            </w:r>
            <w:proofErr w:type="gramStart"/>
            <w:r w:rsidR="00C614FE">
              <w:rPr>
                <w:rFonts w:ascii="Arial" w:hAnsi="Arial" w:cs="Arial"/>
              </w:rPr>
              <w:t>places</w:t>
            </w:r>
            <w:proofErr w:type="gramEnd"/>
            <w:r w:rsidR="001F329A">
              <w:rPr>
                <w:rFonts w:ascii="Arial" w:hAnsi="Arial" w:cs="Arial"/>
              </w:rPr>
              <w:t xml:space="preserve"> priority. </w:t>
            </w:r>
          </w:p>
          <w:p w:rsidR="001F329A" w:rsidP="00866B8E" w:rsidRDefault="001F329A" w14:paraId="15975139" w14:textId="77777777">
            <w:pPr>
              <w:rPr>
                <w:rFonts w:ascii="Arial" w:hAnsi="Arial" w:cs="Arial"/>
              </w:rPr>
            </w:pPr>
          </w:p>
          <w:p w:rsidRPr="00B92A78" w:rsidR="00E93A51" w:rsidP="00866B8E" w:rsidRDefault="001F329A" w14:paraId="6EA0CBB6" w14:textId="2D80E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report recommends that the </w:t>
            </w:r>
            <w:r w:rsidR="00E4574A">
              <w:rPr>
                <w:rFonts w:ascii="Arial" w:hAnsi="Arial" w:cs="Arial"/>
              </w:rPr>
              <w:t>PSB agree to the</w:t>
            </w:r>
            <w:r w:rsidR="00CD01AF">
              <w:rPr>
                <w:rFonts w:ascii="Arial" w:hAnsi="Arial" w:cs="Arial"/>
              </w:rPr>
              <w:t xml:space="preserve"> </w:t>
            </w:r>
            <w:r w:rsidR="006C5305">
              <w:rPr>
                <w:rFonts w:ascii="Arial" w:hAnsi="Arial" w:cs="Arial"/>
              </w:rPr>
              <w:t xml:space="preserve">approach proposed in the </w:t>
            </w:r>
            <w:r w:rsidR="00CD01AF">
              <w:rPr>
                <w:rFonts w:ascii="Arial" w:hAnsi="Arial" w:cs="Arial"/>
              </w:rPr>
              <w:t xml:space="preserve">terms of reference </w:t>
            </w:r>
            <w:r w:rsidR="006C5305">
              <w:rPr>
                <w:rFonts w:ascii="Arial" w:hAnsi="Arial" w:cs="Arial"/>
              </w:rPr>
              <w:t>for the new</w:t>
            </w:r>
            <w:r w:rsidR="00A154D7">
              <w:rPr>
                <w:rFonts w:ascii="Arial" w:hAnsi="Arial" w:cs="Arial"/>
              </w:rPr>
              <w:t xml:space="preserve"> SSCP</w:t>
            </w:r>
            <w:r w:rsidR="006C5305">
              <w:rPr>
                <w:rFonts w:ascii="Arial" w:hAnsi="Arial" w:cs="Arial"/>
              </w:rPr>
              <w:t>B, with any finer detail</w:t>
            </w:r>
            <w:r w:rsidR="00A154D7">
              <w:rPr>
                <w:rFonts w:ascii="Arial" w:hAnsi="Arial" w:cs="Arial"/>
              </w:rPr>
              <w:t xml:space="preserve">/changes to be made </w:t>
            </w:r>
            <w:r w:rsidR="00B26913">
              <w:rPr>
                <w:rFonts w:ascii="Arial" w:hAnsi="Arial" w:cs="Arial"/>
              </w:rPr>
              <w:t>by the SSCPB when</w:t>
            </w:r>
            <w:r w:rsidR="00A154D7">
              <w:rPr>
                <w:rFonts w:ascii="Arial" w:hAnsi="Arial" w:cs="Arial"/>
              </w:rPr>
              <w:t xml:space="preserve"> established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Pr="001A588D" w:rsidR="006E0646" w:rsidTr="462FDBF9" w14:paraId="6E183901" w14:textId="77777777">
        <w:tc>
          <w:tcPr>
            <w:tcW w:w="765" w:type="dxa"/>
            <w:tcMar/>
          </w:tcPr>
          <w:p w:rsidR="006E0646" w:rsidRDefault="006E0646" w14:paraId="68752036" w14:textId="77777777">
            <w:pPr>
              <w:rPr>
                <w:rFonts w:ascii="Arial" w:hAnsi="Arial" w:cs="Arial"/>
              </w:rPr>
            </w:pPr>
          </w:p>
        </w:tc>
        <w:tc>
          <w:tcPr>
            <w:tcW w:w="8586" w:type="dxa"/>
            <w:tcMar/>
          </w:tcPr>
          <w:p w:rsidRPr="00B92A78" w:rsidR="006E0646" w:rsidP="006E0646" w:rsidRDefault="006E0646" w14:paraId="7061AC34" w14:textId="77777777">
            <w:pPr>
              <w:rPr>
                <w:rFonts w:ascii="Arial" w:hAnsi="Arial" w:cs="Arial"/>
              </w:rPr>
            </w:pPr>
          </w:p>
        </w:tc>
      </w:tr>
      <w:tr w:rsidRPr="001A588D" w:rsidR="007D4909" w:rsidTr="462FDBF9" w14:paraId="2A46ECA0" w14:textId="77777777">
        <w:tc>
          <w:tcPr>
            <w:tcW w:w="765" w:type="dxa"/>
            <w:tcMar/>
          </w:tcPr>
          <w:p w:rsidRPr="00917F67" w:rsidR="00917F67" w:rsidRDefault="00917F67" w14:paraId="08FF8E60" w14:textId="2BB977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586" w:type="dxa"/>
            <w:tcMar/>
          </w:tcPr>
          <w:p w:rsidRPr="00B92A78" w:rsidR="00917F67" w:rsidRDefault="00917F67" w14:paraId="4F05BD95" w14:textId="22F6BA98">
            <w:pPr>
              <w:rPr>
                <w:rFonts w:ascii="Arial" w:hAnsi="Arial" w:cs="Arial"/>
                <w:b/>
                <w:bCs/>
              </w:rPr>
            </w:pPr>
            <w:r w:rsidRPr="00B92A78">
              <w:rPr>
                <w:rFonts w:ascii="Arial" w:hAnsi="Arial" w:cs="Arial"/>
                <w:b/>
                <w:bCs/>
              </w:rPr>
              <w:t>Background</w:t>
            </w:r>
          </w:p>
        </w:tc>
      </w:tr>
      <w:tr w:rsidRPr="001A588D" w:rsidR="007D4909" w:rsidTr="462FDBF9" w14:paraId="75F3FEE4" w14:textId="77777777">
        <w:tc>
          <w:tcPr>
            <w:tcW w:w="765" w:type="dxa"/>
            <w:tcMar/>
          </w:tcPr>
          <w:p w:rsidR="003F0B5F" w:rsidRDefault="003F0B5F" w14:paraId="257AC0C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86" w:type="dxa"/>
            <w:tcMar/>
          </w:tcPr>
          <w:p w:rsidRPr="00B92A78" w:rsidR="003F0B5F" w:rsidRDefault="003F0B5F" w14:paraId="71416CB3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A588D" w:rsidR="007D4909" w:rsidTr="462FDBF9" w14:paraId="56B1063B" w14:textId="77777777">
        <w:tc>
          <w:tcPr>
            <w:tcW w:w="765" w:type="dxa"/>
            <w:tcMar/>
          </w:tcPr>
          <w:p w:rsidR="009310CA" w:rsidP="00866B8E" w:rsidRDefault="003F0B5F" w14:paraId="6B5B9F8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F0B5F">
              <w:rPr>
                <w:rFonts w:ascii="Arial" w:hAnsi="Arial" w:cs="Arial"/>
                <w:sz w:val="22"/>
                <w:szCs w:val="22"/>
              </w:rPr>
              <w:t>3.1</w:t>
            </w:r>
          </w:p>
          <w:p w:rsidR="00992139" w:rsidP="00866B8E" w:rsidRDefault="00992139" w14:paraId="14076606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4178E0B5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2C8AF208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1D80B515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07FF29B9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36529114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12B06517" w14:textId="2C041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  <w:p w:rsidR="00992139" w:rsidP="00866B8E" w:rsidRDefault="00992139" w14:paraId="3D44724D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4123276F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082B15B3" w14:textId="77777777">
            <w:pPr>
              <w:rPr>
                <w:rFonts w:ascii="Arial" w:hAnsi="Arial" w:cs="Arial"/>
              </w:rPr>
            </w:pPr>
          </w:p>
          <w:p w:rsidR="009763CD" w:rsidP="00866B8E" w:rsidRDefault="009763CD" w14:paraId="32994818" w14:textId="77777777">
            <w:pPr>
              <w:rPr>
                <w:rFonts w:ascii="Arial" w:hAnsi="Arial" w:cs="Arial"/>
              </w:rPr>
            </w:pPr>
          </w:p>
          <w:p w:rsidR="0092208D" w:rsidP="00866B8E" w:rsidRDefault="0092208D" w14:paraId="46631A98" w14:textId="77777777">
            <w:pPr>
              <w:rPr>
                <w:rFonts w:ascii="Arial" w:hAnsi="Arial" w:cs="Arial"/>
              </w:rPr>
            </w:pPr>
          </w:p>
          <w:p w:rsidR="00992139" w:rsidP="00866B8E" w:rsidRDefault="004A09C2" w14:paraId="38CE5BE2" w14:textId="63000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  <w:p w:rsidR="00992139" w:rsidP="00866B8E" w:rsidRDefault="00992139" w14:paraId="402678A4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5150FB52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15E6B5F5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1755CE1B" w14:textId="77777777">
            <w:pPr>
              <w:rPr>
                <w:rFonts w:ascii="Arial" w:hAnsi="Arial" w:cs="Arial"/>
              </w:rPr>
            </w:pPr>
          </w:p>
          <w:p w:rsidR="004A09C2" w:rsidP="00866B8E" w:rsidRDefault="004A09C2" w14:paraId="33B16011" w14:textId="77777777">
            <w:pPr>
              <w:rPr>
                <w:rFonts w:ascii="Arial" w:hAnsi="Arial" w:cs="Arial"/>
              </w:rPr>
            </w:pPr>
          </w:p>
          <w:p w:rsidR="00992139" w:rsidP="00866B8E" w:rsidRDefault="004A09C2" w14:paraId="4C9F64CD" w14:textId="5F646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E03029">
              <w:rPr>
                <w:rFonts w:ascii="Arial" w:hAnsi="Arial" w:cs="Arial"/>
              </w:rPr>
              <w:t>4</w:t>
            </w:r>
          </w:p>
          <w:p w:rsidR="00992139" w:rsidP="00866B8E" w:rsidRDefault="00992139" w14:paraId="6219CDAD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3F95309A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2B01B053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0642450C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66898754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00AC008F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0921F389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6F18D508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0546CB07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558DE52C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1C99348B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4ED281B4" w14:textId="77777777">
            <w:pPr>
              <w:rPr>
                <w:rFonts w:ascii="Arial" w:hAnsi="Arial" w:cs="Arial"/>
              </w:rPr>
            </w:pPr>
          </w:p>
          <w:p w:rsidR="009763CD" w:rsidP="00866B8E" w:rsidRDefault="009763CD" w14:paraId="2E6F0E74" w14:textId="77777777">
            <w:pPr>
              <w:rPr>
                <w:rFonts w:ascii="Arial" w:hAnsi="Arial" w:cs="Arial"/>
              </w:rPr>
            </w:pPr>
          </w:p>
          <w:p w:rsidR="462FDBF9" w:rsidP="462FDBF9" w:rsidRDefault="462FDBF9" w14:paraId="6959D052" w14:textId="762F4917">
            <w:pPr>
              <w:rPr>
                <w:rFonts w:ascii="Arial" w:hAnsi="Arial" w:cs="Arial"/>
              </w:rPr>
            </w:pPr>
          </w:p>
          <w:p w:rsidR="00992139" w:rsidP="00866B8E" w:rsidRDefault="00992139" w14:paraId="6CBA00BC" w14:textId="4956A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E03029">
              <w:rPr>
                <w:rFonts w:ascii="Arial" w:hAnsi="Arial" w:cs="Arial"/>
              </w:rPr>
              <w:t>5</w:t>
            </w:r>
          </w:p>
          <w:p w:rsidR="0008733D" w:rsidP="00866B8E" w:rsidRDefault="0008733D" w14:paraId="79200AC1" w14:textId="77777777">
            <w:pPr>
              <w:rPr>
                <w:rFonts w:ascii="Arial" w:hAnsi="Arial" w:cs="Arial"/>
              </w:rPr>
            </w:pPr>
          </w:p>
          <w:p w:rsidR="0008733D" w:rsidP="00866B8E" w:rsidRDefault="0008733D" w14:paraId="6A9D82E5" w14:textId="77777777">
            <w:pPr>
              <w:rPr>
                <w:rFonts w:ascii="Arial" w:hAnsi="Arial" w:cs="Arial"/>
              </w:rPr>
            </w:pPr>
          </w:p>
          <w:p w:rsidR="006A1D37" w:rsidP="00866B8E" w:rsidRDefault="006A1D37" w14:paraId="3E52CA5D" w14:textId="77777777">
            <w:pPr>
              <w:rPr>
                <w:rFonts w:ascii="Arial" w:hAnsi="Arial" w:cs="Arial"/>
              </w:rPr>
            </w:pPr>
          </w:p>
          <w:p w:rsidR="00992597" w:rsidP="00866B8E" w:rsidRDefault="00992597" w14:paraId="42A96E66" w14:textId="77777777">
            <w:pPr>
              <w:rPr>
                <w:rFonts w:ascii="Arial" w:hAnsi="Arial" w:cs="Arial"/>
              </w:rPr>
            </w:pPr>
          </w:p>
          <w:p w:rsidR="00992597" w:rsidP="00866B8E" w:rsidRDefault="00992597" w14:paraId="1E77B479" w14:textId="77777777">
            <w:pPr>
              <w:rPr>
                <w:rFonts w:ascii="Arial" w:hAnsi="Arial" w:cs="Arial"/>
              </w:rPr>
            </w:pPr>
          </w:p>
          <w:p w:rsidR="000E66EE" w:rsidP="00866B8E" w:rsidRDefault="000E66EE" w14:paraId="0629CD3B" w14:textId="77777777">
            <w:pPr>
              <w:rPr>
                <w:rFonts w:ascii="Arial" w:hAnsi="Arial" w:cs="Arial"/>
              </w:rPr>
            </w:pPr>
          </w:p>
          <w:p w:rsidR="0008733D" w:rsidP="00866B8E" w:rsidRDefault="00E03029" w14:paraId="5A13EE73" w14:textId="67717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  <w:p w:rsidR="00E4302D" w:rsidP="00866B8E" w:rsidRDefault="00E4302D" w14:paraId="2AF764E3" w14:textId="77777777">
            <w:pPr>
              <w:rPr>
                <w:rFonts w:ascii="Arial" w:hAnsi="Arial" w:cs="Arial"/>
              </w:rPr>
            </w:pPr>
          </w:p>
          <w:p w:rsidR="00E4302D" w:rsidP="00866B8E" w:rsidRDefault="00E4302D" w14:paraId="696A56F1" w14:textId="77777777">
            <w:pPr>
              <w:rPr>
                <w:rFonts w:ascii="Arial" w:hAnsi="Arial" w:cs="Arial"/>
              </w:rPr>
            </w:pPr>
          </w:p>
          <w:p w:rsidR="00E4302D" w:rsidP="00866B8E" w:rsidRDefault="00E4302D" w14:paraId="3450E38C" w14:textId="77777777">
            <w:pPr>
              <w:rPr>
                <w:rFonts w:ascii="Arial" w:hAnsi="Arial" w:cs="Arial"/>
              </w:rPr>
            </w:pPr>
          </w:p>
          <w:p w:rsidR="00E4302D" w:rsidP="00866B8E" w:rsidRDefault="00E4302D" w14:paraId="2367AAAF" w14:textId="77777777">
            <w:pPr>
              <w:rPr>
                <w:rFonts w:ascii="Arial" w:hAnsi="Arial" w:cs="Arial"/>
              </w:rPr>
            </w:pPr>
          </w:p>
          <w:p w:rsidR="00E4302D" w:rsidP="00866B8E" w:rsidRDefault="00E4302D" w14:paraId="6ED0A325" w14:textId="77777777">
            <w:pPr>
              <w:rPr>
                <w:rFonts w:ascii="Arial" w:hAnsi="Arial" w:cs="Arial"/>
              </w:rPr>
            </w:pPr>
          </w:p>
          <w:p w:rsidR="0008733D" w:rsidP="00866B8E" w:rsidRDefault="0008733D" w14:paraId="70B1055E" w14:textId="127CBFD2">
            <w:pPr>
              <w:rPr>
                <w:rFonts w:ascii="Arial" w:hAnsi="Arial" w:cs="Arial"/>
              </w:rPr>
            </w:pPr>
          </w:p>
          <w:p w:rsidR="00E4302D" w:rsidP="00866B8E" w:rsidRDefault="00E4302D" w14:paraId="564F60D8" w14:textId="77777777">
            <w:pPr>
              <w:rPr>
                <w:rFonts w:ascii="Arial" w:hAnsi="Arial" w:cs="Arial"/>
              </w:rPr>
            </w:pPr>
          </w:p>
          <w:p w:rsidR="00E4302D" w:rsidP="00866B8E" w:rsidRDefault="00E4302D" w14:paraId="33389022" w14:textId="77777777">
            <w:pPr>
              <w:rPr>
                <w:rFonts w:ascii="Arial" w:hAnsi="Arial" w:cs="Arial"/>
              </w:rPr>
            </w:pPr>
          </w:p>
          <w:p w:rsidR="00E4302D" w:rsidP="462FDBF9" w:rsidRDefault="00E4302D" w14:paraId="56488134" w14:textId="6759C4A9">
            <w:pPr>
              <w:pStyle w:val="Normal"/>
              <w:rPr>
                <w:rFonts w:ascii="Arial" w:hAnsi="Arial" w:cs="Arial"/>
              </w:rPr>
            </w:pPr>
            <w:r w:rsidRPr="462FDBF9" w:rsidR="00E4302D">
              <w:rPr>
                <w:rFonts w:ascii="Arial" w:hAnsi="Arial" w:cs="Arial"/>
              </w:rPr>
              <w:t>3.7</w:t>
            </w:r>
          </w:p>
          <w:p w:rsidR="00992139" w:rsidP="00866B8E" w:rsidRDefault="00992139" w14:paraId="41CA28BC" w14:textId="77777777">
            <w:pPr>
              <w:rPr>
                <w:rFonts w:ascii="Arial" w:hAnsi="Arial" w:cs="Arial"/>
              </w:rPr>
            </w:pPr>
          </w:p>
          <w:p w:rsidR="00992139" w:rsidP="00866B8E" w:rsidRDefault="00992139" w14:paraId="224F2D31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62D4E46B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2444E0E6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6F542015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1ABD709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  <w:p w:rsidR="00612550" w:rsidP="00866B8E" w:rsidRDefault="00612550" w14:paraId="24015272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4D72046E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48773D4C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7D939095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2F5F64F4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0D209F81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3DA1869F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04F0CB20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235CD254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309E60DB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7982AE6A" w14:textId="77777777">
            <w:pPr>
              <w:rPr>
                <w:rFonts w:ascii="Arial" w:hAnsi="Arial" w:cs="Arial"/>
              </w:rPr>
            </w:pPr>
          </w:p>
          <w:p w:rsidR="00F60184" w:rsidP="00866B8E" w:rsidRDefault="00F60184" w14:paraId="340CFC3B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7388E291" w14:textId="46E77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</w:t>
            </w:r>
          </w:p>
          <w:p w:rsidR="00612550" w:rsidP="00866B8E" w:rsidRDefault="00612550" w14:paraId="7E34F617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1BA83638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46DF0C0D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6895B929" w14:textId="77777777">
            <w:pPr>
              <w:rPr>
                <w:rFonts w:ascii="Arial" w:hAnsi="Arial" w:cs="Arial"/>
              </w:rPr>
            </w:pPr>
          </w:p>
          <w:p w:rsidR="006B4DBE" w:rsidP="00866B8E" w:rsidRDefault="006B4DBE" w14:paraId="2B1D7A83" w14:textId="77777777">
            <w:pPr>
              <w:rPr>
                <w:rFonts w:ascii="Arial" w:hAnsi="Arial" w:cs="Arial"/>
              </w:rPr>
            </w:pPr>
          </w:p>
          <w:p w:rsidR="00612550" w:rsidP="00866B8E" w:rsidRDefault="00612550" w14:paraId="4A176AE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</w:t>
            </w:r>
          </w:p>
          <w:p w:rsidR="006D4965" w:rsidP="00866B8E" w:rsidRDefault="006D4965" w14:paraId="0DBFD250" w14:textId="77777777">
            <w:pPr>
              <w:rPr>
                <w:rFonts w:ascii="Arial" w:hAnsi="Arial" w:cs="Arial"/>
              </w:rPr>
            </w:pPr>
          </w:p>
          <w:p w:rsidR="006D4965" w:rsidP="00866B8E" w:rsidRDefault="006D4965" w14:paraId="379132C4" w14:textId="77777777">
            <w:pPr>
              <w:rPr>
                <w:rFonts w:ascii="Arial" w:hAnsi="Arial" w:cs="Arial"/>
              </w:rPr>
            </w:pPr>
          </w:p>
          <w:p w:rsidR="006D4965" w:rsidP="00866B8E" w:rsidRDefault="006D4965" w14:paraId="5FF620F5" w14:textId="77777777">
            <w:pPr>
              <w:rPr>
                <w:rFonts w:ascii="Arial" w:hAnsi="Arial" w:cs="Arial"/>
              </w:rPr>
            </w:pPr>
          </w:p>
          <w:p w:rsidR="006D4965" w:rsidP="00866B8E" w:rsidRDefault="006D4965" w14:paraId="48E2F84F" w14:textId="77777777">
            <w:pPr>
              <w:rPr>
                <w:rFonts w:ascii="Arial" w:hAnsi="Arial" w:cs="Arial"/>
              </w:rPr>
            </w:pPr>
          </w:p>
          <w:p w:rsidRPr="003F0B5F" w:rsidR="006D4965" w:rsidP="00866B8E" w:rsidRDefault="006D4965" w14:paraId="4CD26BDF" w14:textId="37966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</w:t>
            </w:r>
          </w:p>
        </w:tc>
        <w:tc>
          <w:tcPr>
            <w:tcW w:w="8586" w:type="dxa"/>
            <w:tcMar/>
          </w:tcPr>
          <w:p w:rsidRPr="001F329A" w:rsidR="001F329A" w:rsidP="001F329A" w:rsidRDefault="001F329A" w14:paraId="18F7428A" w14:textId="3E5A8160">
            <w:pPr>
              <w:rPr>
                <w:rFonts w:ascii="Arial" w:hAnsi="Arial" w:cs="Arial"/>
              </w:rPr>
            </w:pPr>
            <w:r w:rsidRPr="001F329A">
              <w:rPr>
                <w:rFonts w:ascii="Arial" w:hAnsi="Arial" w:cs="Arial"/>
              </w:rPr>
              <w:t xml:space="preserve">The current </w:t>
            </w:r>
            <w:r>
              <w:rPr>
                <w:rFonts w:ascii="Arial" w:hAnsi="Arial" w:cs="Arial"/>
              </w:rPr>
              <w:t>Wellbeing Plan</w:t>
            </w:r>
            <w:r w:rsidRPr="001F329A">
              <w:rPr>
                <w:rFonts w:ascii="Arial" w:hAnsi="Arial" w:cs="Arial"/>
              </w:rPr>
              <w:t xml:space="preserve"> contains 4 key ‘Areas of Focus’:</w:t>
            </w:r>
          </w:p>
          <w:p w:rsidRPr="001F329A" w:rsidR="001F329A" w:rsidP="001F329A" w:rsidRDefault="001F329A" w14:paraId="60C0590F" w14:textId="77777777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F329A">
              <w:rPr>
                <w:rFonts w:ascii="Arial" w:hAnsi="Arial" w:cs="Arial"/>
              </w:rPr>
              <w:t xml:space="preserve">Every child has the best start in life </w:t>
            </w:r>
          </w:p>
          <w:p w:rsidRPr="001F329A" w:rsidR="001F329A" w:rsidP="001F329A" w:rsidRDefault="001F329A" w14:paraId="4E2585BE" w14:textId="77777777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F329A">
              <w:rPr>
                <w:rFonts w:ascii="Arial" w:hAnsi="Arial" w:cs="Arial"/>
              </w:rPr>
              <w:t xml:space="preserve">Everyone lives in a place they feel safe </w:t>
            </w:r>
          </w:p>
          <w:p w:rsidRPr="001F329A" w:rsidR="001F329A" w:rsidP="001F329A" w:rsidRDefault="001F329A" w14:paraId="10889614" w14:textId="77777777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F329A">
              <w:rPr>
                <w:rFonts w:ascii="Arial" w:hAnsi="Arial" w:cs="Arial"/>
              </w:rPr>
              <w:t xml:space="preserve">Everyone has the same economic chances </w:t>
            </w:r>
          </w:p>
          <w:p w:rsidRPr="001F329A" w:rsidR="001F329A" w:rsidP="001F329A" w:rsidRDefault="001F329A" w14:paraId="62F23EC0" w14:textId="77777777">
            <w:pPr>
              <w:pStyle w:val="Defaul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F329A">
              <w:rPr>
                <w:rFonts w:ascii="Arial" w:hAnsi="Arial" w:cs="Arial"/>
              </w:rPr>
              <w:t xml:space="preserve">Everyone lives in a climate-ready community where their environment is valued and protected. </w:t>
            </w:r>
          </w:p>
          <w:p w:rsidRPr="001F329A" w:rsidR="001F329A" w:rsidP="001F329A" w:rsidRDefault="001F329A" w14:paraId="025E4284" w14:textId="77777777">
            <w:pPr>
              <w:pStyle w:val="Default"/>
              <w:ind w:left="720"/>
              <w:rPr>
                <w:rFonts w:ascii="Arial" w:hAnsi="Arial" w:cs="Arial"/>
              </w:rPr>
            </w:pPr>
          </w:p>
          <w:p w:rsidR="009763CD" w:rsidP="001F329A" w:rsidRDefault="001F329A" w14:paraId="5F0B7CD3" w14:textId="633B59C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Gwent Police and Crime Commissioner and</w:t>
            </w:r>
            <w:r w:rsidRPr="001F329A">
              <w:rPr>
                <w:rFonts w:ascii="Arial" w:hAnsi="Arial" w:cs="Arial"/>
                <w:color w:val="000000" w:themeColor="text1"/>
              </w:rPr>
              <w:t xml:space="preserve"> the Chief Constable</w:t>
            </w:r>
            <w:r>
              <w:rPr>
                <w:rFonts w:ascii="Arial" w:hAnsi="Arial" w:cs="Arial"/>
                <w:color w:val="000000" w:themeColor="text1"/>
              </w:rPr>
              <w:t xml:space="preserve"> of Gwent Police </w:t>
            </w:r>
            <w:r w:rsidR="00721529">
              <w:rPr>
                <w:rFonts w:ascii="Arial" w:hAnsi="Arial" w:cs="Arial"/>
                <w:color w:val="000000" w:themeColor="text1"/>
              </w:rPr>
              <w:t>have agreed to</w:t>
            </w:r>
            <w:r w:rsidRPr="001F329A">
              <w:rPr>
                <w:rFonts w:ascii="Arial" w:hAnsi="Arial" w:cs="Arial"/>
                <w:color w:val="000000" w:themeColor="text1"/>
              </w:rPr>
              <w:t xml:space="preserve"> co-lead the second</w:t>
            </w:r>
            <w:r w:rsidR="005512E2">
              <w:rPr>
                <w:rFonts w:ascii="Arial" w:hAnsi="Arial" w:cs="Arial"/>
                <w:color w:val="000000" w:themeColor="text1"/>
              </w:rPr>
              <w:t xml:space="preserve"> priority</w:t>
            </w:r>
            <w:r w:rsidRPr="001F329A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553BC6">
              <w:rPr>
                <w:rFonts w:ascii="Arial" w:hAnsi="Arial" w:cs="Arial"/>
                <w:color w:val="000000" w:themeColor="text1"/>
              </w:rPr>
              <w:t xml:space="preserve">This was agreed </w:t>
            </w:r>
            <w:r w:rsidR="00721529">
              <w:rPr>
                <w:rFonts w:ascii="Arial" w:hAnsi="Arial" w:cs="Arial"/>
                <w:color w:val="000000" w:themeColor="text1"/>
              </w:rPr>
              <w:t>by the PSB in September.</w:t>
            </w:r>
            <w:r w:rsidR="00553BC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E7DE1">
              <w:rPr>
                <w:rFonts w:ascii="Arial" w:hAnsi="Arial" w:cs="Arial"/>
                <w:color w:val="000000" w:themeColor="text1"/>
              </w:rPr>
              <w:t xml:space="preserve">Since that time, three significant developments have </w:t>
            </w:r>
            <w:r w:rsidR="004A09C2">
              <w:rPr>
                <w:rFonts w:ascii="Arial" w:hAnsi="Arial" w:cs="Arial"/>
                <w:color w:val="000000" w:themeColor="text1"/>
              </w:rPr>
              <w:t>taken</w:t>
            </w:r>
            <w:r w:rsidR="009763CD">
              <w:rPr>
                <w:rFonts w:ascii="Arial" w:hAnsi="Arial" w:cs="Arial"/>
                <w:color w:val="000000" w:themeColor="text1"/>
              </w:rPr>
              <w:t xml:space="preserve"> place under this priority</w:t>
            </w:r>
            <w:r w:rsidR="004A6172">
              <w:rPr>
                <w:rFonts w:ascii="Arial" w:hAnsi="Arial" w:cs="Arial"/>
                <w:color w:val="000000" w:themeColor="text1"/>
              </w:rPr>
              <w:t>.</w:t>
            </w:r>
          </w:p>
          <w:p w:rsidR="0092208D" w:rsidP="001F329A" w:rsidRDefault="0092208D" w14:paraId="16534541" w14:textId="77777777">
            <w:pPr>
              <w:rPr>
                <w:rFonts w:ascii="Arial" w:hAnsi="Arial" w:cs="Arial"/>
                <w:color w:val="000000" w:themeColor="text1"/>
              </w:rPr>
            </w:pPr>
          </w:p>
          <w:p w:rsidR="004A09C2" w:rsidP="001F329A" w:rsidRDefault="00FD070E" w14:paraId="642FCAA3" w14:textId="5326E60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Firstly, </w:t>
            </w:r>
            <w:r w:rsidR="009636D4">
              <w:rPr>
                <w:rFonts w:ascii="Arial" w:hAnsi="Arial" w:cs="Arial"/>
                <w:color w:val="000000" w:themeColor="text1"/>
              </w:rPr>
              <w:t>the</w:t>
            </w:r>
            <w:r w:rsidR="006906D2">
              <w:rPr>
                <w:rFonts w:ascii="Arial" w:hAnsi="Arial" w:cs="Arial"/>
                <w:color w:val="000000" w:themeColor="text1"/>
              </w:rPr>
              <w:t xml:space="preserve"> Commissioner</w:t>
            </w:r>
            <w:r w:rsidR="000A2353">
              <w:rPr>
                <w:rFonts w:ascii="Arial" w:hAnsi="Arial" w:cs="Arial"/>
                <w:color w:val="000000" w:themeColor="text1"/>
              </w:rPr>
              <w:t xml:space="preserve"> has permanently recruited </w:t>
            </w:r>
            <w:r w:rsidR="006906D2">
              <w:rPr>
                <w:rFonts w:ascii="Arial" w:hAnsi="Arial" w:cs="Arial"/>
                <w:color w:val="000000" w:themeColor="text1"/>
              </w:rPr>
              <w:t>a new Chief Constable in Autumn 2024</w:t>
            </w:r>
            <w:r w:rsidR="00F570B6">
              <w:rPr>
                <w:rFonts w:ascii="Arial" w:hAnsi="Arial" w:cs="Arial"/>
                <w:color w:val="000000" w:themeColor="text1"/>
              </w:rPr>
              <w:t>, Mark Hobrough</w:t>
            </w:r>
            <w:r w:rsidR="00AF35DD">
              <w:rPr>
                <w:rFonts w:ascii="Arial" w:hAnsi="Arial" w:cs="Arial"/>
                <w:color w:val="000000" w:themeColor="text1"/>
              </w:rPr>
              <w:t xml:space="preserve">, who will already be known to PSB members whilst in the </w:t>
            </w:r>
            <w:r w:rsidR="009B3435">
              <w:rPr>
                <w:rFonts w:ascii="Arial" w:hAnsi="Arial" w:cs="Arial"/>
                <w:color w:val="000000" w:themeColor="text1"/>
              </w:rPr>
              <w:t>post temporarily</w:t>
            </w:r>
            <w:r w:rsidR="00F570B6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C01875">
              <w:rPr>
                <w:rFonts w:ascii="Arial" w:hAnsi="Arial" w:cs="Arial"/>
                <w:color w:val="000000" w:themeColor="text1"/>
              </w:rPr>
              <w:t>T</w:t>
            </w:r>
            <w:r w:rsidR="00F570B6">
              <w:rPr>
                <w:rFonts w:ascii="Arial" w:hAnsi="Arial" w:cs="Arial"/>
                <w:color w:val="000000" w:themeColor="text1"/>
              </w:rPr>
              <w:t xml:space="preserve">he Chief Constable </w:t>
            </w:r>
            <w:r w:rsidR="00CD7313">
              <w:rPr>
                <w:rFonts w:ascii="Arial" w:hAnsi="Arial" w:cs="Arial"/>
                <w:color w:val="000000" w:themeColor="text1"/>
              </w:rPr>
              <w:t xml:space="preserve">has introduced a new policing model across Gwent, with Improving Trust and Confidence </w:t>
            </w:r>
            <w:r w:rsidR="001C0EAD">
              <w:rPr>
                <w:rFonts w:ascii="Arial" w:hAnsi="Arial" w:cs="Arial"/>
                <w:color w:val="000000" w:themeColor="text1"/>
              </w:rPr>
              <w:t>at the heart of that new model</w:t>
            </w:r>
            <w:r w:rsidR="00C01875">
              <w:rPr>
                <w:rFonts w:ascii="Arial" w:hAnsi="Arial" w:cs="Arial"/>
                <w:color w:val="000000" w:themeColor="text1"/>
              </w:rPr>
              <w:t>,</w:t>
            </w:r>
            <w:r w:rsidR="00E7485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01875">
              <w:rPr>
                <w:rFonts w:ascii="Arial" w:hAnsi="Arial" w:cs="Arial"/>
                <w:color w:val="000000" w:themeColor="text1"/>
              </w:rPr>
              <w:t>and</w:t>
            </w:r>
            <w:r w:rsidR="00E74852">
              <w:rPr>
                <w:rFonts w:ascii="Arial" w:hAnsi="Arial" w:cs="Arial"/>
                <w:color w:val="000000" w:themeColor="text1"/>
              </w:rPr>
              <w:t xml:space="preserve"> an increased focus on neighbourhood policing to </w:t>
            </w:r>
            <w:r w:rsidR="0000366E">
              <w:rPr>
                <w:rFonts w:ascii="Arial" w:hAnsi="Arial" w:cs="Arial"/>
                <w:color w:val="000000" w:themeColor="text1"/>
              </w:rPr>
              <w:t xml:space="preserve">increase visibility, </w:t>
            </w:r>
            <w:r w:rsidR="00E74852">
              <w:rPr>
                <w:rFonts w:ascii="Arial" w:hAnsi="Arial" w:cs="Arial"/>
                <w:color w:val="000000" w:themeColor="text1"/>
              </w:rPr>
              <w:t>provide reassurance</w:t>
            </w:r>
            <w:r w:rsidR="00D47D7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763CD">
              <w:rPr>
                <w:rFonts w:ascii="Arial" w:hAnsi="Arial" w:cs="Arial"/>
                <w:color w:val="000000" w:themeColor="text1"/>
              </w:rPr>
              <w:t>and make communities saf</w:t>
            </w:r>
            <w:r w:rsidR="0000366E">
              <w:rPr>
                <w:rFonts w:ascii="Arial" w:hAnsi="Arial" w:cs="Arial"/>
                <w:color w:val="000000" w:themeColor="text1"/>
              </w:rPr>
              <w:t>er</w:t>
            </w:r>
            <w:r w:rsidR="001C0EAD">
              <w:rPr>
                <w:rFonts w:ascii="Arial" w:hAnsi="Arial" w:cs="Arial"/>
                <w:color w:val="000000" w:themeColor="text1"/>
              </w:rPr>
              <w:t>.</w:t>
            </w:r>
            <w:r w:rsidR="00E7485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4A09C2" w:rsidP="001F329A" w:rsidRDefault="004A09C2" w14:paraId="2D4BD064" w14:textId="77777777">
            <w:pPr>
              <w:rPr>
                <w:rFonts w:ascii="Arial" w:hAnsi="Arial" w:cs="Arial"/>
                <w:color w:val="000000" w:themeColor="text1"/>
              </w:rPr>
            </w:pPr>
          </w:p>
          <w:p w:rsidR="007710DC" w:rsidP="001F329A" w:rsidRDefault="00BC5EEA" w14:paraId="320994A2" w14:textId="0E61C98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Secondly</w:t>
            </w:r>
            <w:r w:rsidR="007710DC">
              <w:rPr>
                <w:rFonts w:ascii="Arial" w:hAnsi="Arial" w:cs="Arial"/>
                <w:color w:val="000000" w:themeColor="text1"/>
              </w:rPr>
              <w:t>, t</w:t>
            </w:r>
            <w:r w:rsidR="006906D2">
              <w:rPr>
                <w:rFonts w:ascii="Arial" w:hAnsi="Arial" w:cs="Arial"/>
                <w:color w:val="000000" w:themeColor="text1"/>
              </w:rPr>
              <w:t>he</w:t>
            </w:r>
            <w:r w:rsidR="007710DC">
              <w:rPr>
                <w:rFonts w:ascii="Arial" w:hAnsi="Arial" w:cs="Arial"/>
                <w:color w:val="000000" w:themeColor="text1"/>
              </w:rPr>
              <w:t xml:space="preserve"> Commissioner has developed a</w:t>
            </w:r>
            <w:r w:rsidR="006906D2">
              <w:rPr>
                <w:rFonts w:ascii="Arial" w:hAnsi="Arial" w:cs="Arial"/>
                <w:color w:val="000000" w:themeColor="text1"/>
              </w:rPr>
              <w:t xml:space="preserve"> new Police, Crime and Justice Plan for Gwent, due for </w:t>
            </w:r>
            <w:r w:rsidR="00B03156">
              <w:rPr>
                <w:rFonts w:ascii="Arial" w:hAnsi="Arial" w:cs="Arial"/>
                <w:color w:val="000000" w:themeColor="text1"/>
              </w:rPr>
              <w:t>release on 28</w:t>
            </w:r>
            <w:r w:rsidRPr="00B03156" w:rsidR="00B03156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="006906D2">
              <w:rPr>
                <w:rFonts w:ascii="Arial" w:hAnsi="Arial" w:cs="Arial"/>
                <w:color w:val="000000" w:themeColor="text1"/>
              </w:rPr>
              <w:t xml:space="preserve"> March 2025. </w:t>
            </w:r>
            <w:r w:rsidR="007710DC">
              <w:rPr>
                <w:rFonts w:ascii="Arial" w:hAnsi="Arial" w:cs="Arial"/>
                <w:color w:val="000000" w:themeColor="text1"/>
              </w:rPr>
              <w:t xml:space="preserve">The new Plan has five Pillars under which sit </w:t>
            </w:r>
            <w:r w:rsidR="00F65866">
              <w:rPr>
                <w:rFonts w:ascii="Arial" w:hAnsi="Arial" w:cs="Arial"/>
                <w:color w:val="000000" w:themeColor="text1"/>
              </w:rPr>
              <w:t>relevant</w:t>
            </w:r>
            <w:r w:rsidR="007710DC">
              <w:rPr>
                <w:rFonts w:ascii="Arial" w:hAnsi="Arial" w:cs="Arial"/>
                <w:color w:val="000000" w:themeColor="text1"/>
              </w:rPr>
              <w:t xml:space="preserve"> priorities. The Pillars to the Plan are:</w:t>
            </w:r>
          </w:p>
          <w:p w:rsidR="007710DC" w:rsidP="007710DC" w:rsidRDefault="00BC18F8" w14:paraId="13F925E2" w14:textId="49C8732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Preventing crime and antisocial behaviour</w:t>
            </w:r>
          </w:p>
          <w:p w:rsidR="00BC18F8" w:rsidP="007710DC" w:rsidRDefault="00BC18F8" w14:paraId="47ECFBCA" w14:textId="7AEDDC7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Making our communities safer</w:t>
            </w:r>
          </w:p>
          <w:p w:rsidR="00BC18F8" w:rsidP="007710DC" w:rsidRDefault="00BC18F8" w14:paraId="6F9DE393" w14:textId="174DFF4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Protecting the vulnerable</w:t>
            </w:r>
          </w:p>
          <w:p w:rsidR="00BC18F8" w:rsidP="007710DC" w:rsidRDefault="00BC18F8" w14:paraId="2FD63DCD" w14:textId="28279B3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Putting victims first, and </w:t>
            </w:r>
          </w:p>
          <w:p w:rsidR="00BC18F8" w:rsidP="007710DC" w:rsidRDefault="00BC18F8" w14:paraId="74CB93E9" w14:textId="5BE1F20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Reducing reoffending</w:t>
            </w:r>
            <w:r w:rsidR="00BB49D6">
              <w:rPr>
                <w:rFonts w:ascii="Arial" w:hAnsi="Arial" w:cs="Arial"/>
                <w:color w:val="000000" w:themeColor="text1"/>
              </w:rPr>
              <w:t>.</w:t>
            </w:r>
          </w:p>
          <w:p w:rsidRPr="00B321BD" w:rsidR="00B321BD" w:rsidP="00B321BD" w:rsidRDefault="00B321BD" w14:paraId="5358FEFD" w14:textId="50DDF93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Flowing throughout the entire Plan is a strong emphasis on </w:t>
            </w:r>
            <w:r w:rsidR="006946C7">
              <w:rPr>
                <w:rFonts w:ascii="Arial" w:hAnsi="Arial" w:cs="Arial"/>
                <w:color w:val="000000" w:themeColor="text1"/>
              </w:rPr>
              <w:t>tackling those community safety issues that the public</w:t>
            </w:r>
            <w:r w:rsidR="00062203">
              <w:rPr>
                <w:rFonts w:ascii="Arial" w:hAnsi="Arial" w:cs="Arial"/>
                <w:color w:val="000000" w:themeColor="text1"/>
              </w:rPr>
              <w:t>, PSB</w:t>
            </w:r>
            <w:r w:rsidR="006946C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62203">
              <w:rPr>
                <w:rFonts w:ascii="Arial" w:hAnsi="Arial" w:cs="Arial"/>
                <w:color w:val="000000" w:themeColor="text1"/>
              </w:rPr>
              <w:t xml:space="preserve">and other </w:t>
            </w:r>
            <w:r w:rsidR="006946C7">
              <w:rPr>
                <w:rFonts w:ascii="Arial" w:hAnsi="Arial" w:cs="Arial"/>
                <w:color w:val="000000" w:themeColor="text1"/>
              </w:rPr>
              <w:t xml:space="preserve">partners </w:t>
            </w:r>
            <w:r w:rsidR="009A0A31">
              <w:rPr>
                <w:rFonts w:ascii="Arial" w:hAnsi="Arial" w:cs="Arial"/>
                <w:color w:val="000000" w:themeColor="text1"/>
              </w:rPr>
              <w:t>told the Commissioner are their main concerns</w:t>
            </w:r>
            <w:r w:rsidR="00110E0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3111F">
              <w:rPr>
                <w:rFonts w:ascii="Arial" w:hAnsi="Arial" w:cs="Arial"/>
                <w:color w:val="000000" w:themeColor="text1"/>
              </w:rPr>
              <w:t>following</w:t>
            </w:r>
            <w:r w:rsidR="00110E0D">
              <w:rPr>
                <w:rFonts w:ascii="Arial" w:hAnsi="Arial" w:cs="Arial"/>
                <w:color w:val="000000" w:themeColor="text1"/>
              </w:rPr>
              <w:t xml:space="preserve"> extensive surveying in 2024. Added to this is a focus on partnership working, in particular the </w:t>
            </w:r>
            <w:r w:rsidR="00FD070E">
              <w:rPr>
                <w:rFonts w:ascii="Arial" w:hAnsi="Arial" w:cs="Arial"/>
                <w:color w:val="000000" w:themeColor="text1"/>
              </w:rPr>
              <w:t>s</w:t>
            </w:r>
            <w:r w:rsidR="00110E0D">
              <w:rPr>
                <w:rFonts w:ascii="Arial" w:hAnsi="Arial" w:cs="Arial"/>
                <w:color w:val="000000" w:themeColor="text1"/>
              </w:rPr>
              <w:t xml:space="preserve">afer </w:t>
            </w:r>
            <w:r w:rsidR="00FD070E">
              <w:rPr>
                <w:rFonts w:ascii="Arial" w:hAnsi="Arial" w:cs="Arial"/>
                <w:color w:val="000000" w:themeColor="text1"/>
              </w:rPr>
              <w:t>pl</w:t>
            </w:r>
            <w:r w:rsidR="00110E0D">
              <w:rPr>
                <w:rFonts w:ascii="Arial" w:hAnsi="Arial" w:cs="Arial"/>
                <w:color w:val="000000" w:themeColor="text1"/>
              </w:rPr>
              <w:t>aces priority under the PSB.</w:t>
            </w:r>
          </w:p>
          <w:p w:rsidR="007710DC" w:rsidP="001F329A" w:rsidRDefault="007710DC" w14:paraId="3F6FCB87" w14:textId="77777777">
            <w:pPr>
              <w:rPr>
                <w:rFonts w:ascii="Arial" w:hAnsi="Arial" w:cs="Arial"/>
                <w:color w:val="000000" w:themeColor="text1"/>
              </w:rPr>
            </w:pPr>
          </w:p>
          <w:p w:rsidR="008E0AA8" w:rsidP="001F329A" w:rsidRDefault="000E66EE" w14:paraId="6D4114B3" w14:textId="036C29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Thirdly, w</w:t>
            </w:r>
            <w:r w:rsidR="00FD070E">
              <w:rPr>
                <w:rFonts w:ascii="Arial" w:hAnsi="Arial" w:cs="Arial"/>
                <w:color w:val="000000" w:themeColor="text1"/>
              </w:rPr>
              <w:t xml:space="preserve">ith these </w:t>
            </w:r>
            <w:r w:rsidR="0013111F">
              <w:rPr>
                <w:rFonts w:ascii="Arial" w:hAnsi="Arial" w:cs="Arial"/>
                <w:color w:val="000000" w:themeColor="text1"/>
              </w:rPr>
              <w:t xml:space="preserve">fundamental aspects </w:t>
            </w:r>
            <w:r w:rsidR="00FD070E">
              <w:rPr>
                <w:rFonts w:ascii="Arial" w:hAnsi="Arial" w:cs="Arial"/>
                <w:color w:val="000000" w:themeColor="text1"/>
              </w:rPr>
              <w:t>now in</w:t>
            </w:r>
            <w:r w:rsidR="006906D2">
              <w:rPr>
                <w:rFonts w:ascii="Arial" w:hAnsi="Arial" w:cs="Arial"/>
                <w:color w:val="000000" w:themeColor="text1"/>
              </w:rPr>
              <w:t xml:space="preserve"> place, focus </w:t>
            </w:r>
            <w:r w:rsidR="00FB3A0F">
              <w:rPr>
                <w:rFonts w:ascii="Arial" w:hAnsi="Arial" w:cs="Arial"/>
                <w:color w:val="000000" w:themeColor="text1"/>
              </w:rPr>
              <w:t>can now</w:t>
            </w:r>
            <w:r w:rsidR="006906D2">
              <w:rPr>
                <w:rFonts w:ascii="Arial" w:hAnsi="Arial" w:cs="Arial"/>
                <w:color w:val="000000" w:themeColor="text1"/>
              </w:rPr>
              <w:t xml:space="preserve"> increasingly shift to developing the relevant plans, outputs and desired outcomes against the safer </w:t>
            </w:r>
            <w:proofErr w:type="gramStart"/>
            <w:r w:rsidR="006906D2">
              <w:rPr>
                <w:rFonts w:ascii="Arial" w:hAnsi="Arial" w:cs="Arial"/>
                <w:color w:val="000000" w:themeColor="text1"/>
              </w:rPr>
              <w:t>places</w:t>
            </w:r>
            <w:proofErr w:type="gramEnd"/>
            <w:r w:rsidR="006906D2">
              <w:rPr>
                <w:rFonts w:ascii="Arial" w:hAnsi="Arial" w:cs="Arial"/>
                <w:color w:val="000000" w:themeColor="text1"/>
              </w:rPr>
              <w:t xml:space="preserve"> priority. Much of </w:t>
            </w:r>
            <w:r w:rsidR="00CD01AF">
              <w:rPr>
                <w:rFonts w:ascii="Arial" w:hAnsi="Arial" w:cs="Arial"/>
                <w:color w:val="000000" w:themeColor="text1"/>
              </w:rPr>
              <w:t>this</w:t>
            </w:r>
            <w:r w:rsidR="006906D2">
              <w:rPr>
                <w:rFonts w:ascii="Arial" w:hAnsi="Arial" w:cs="Arial"/>
                <w:color w:val="000000" w:themeColor="text1"/>
              </w:rPr>
              <w:t xml:space="preserve"> will be</w:t>
            </w:r>
            <w:r w:rsidR="00CD01AF">
              <w:rPr>
                <w:rFonts w:ascii="Arial" w:hAnsi="Arial" w:cs="Arial"/>
                <w:color w:val="000000" w:themeColor="text1"/>
              </w:rPr>
              <w:t xml:space="preserve"> delivered</w:t>
            </w:r>
            <w:r w:rsidR="006906D2">
              <w:rPr>
                <w:rFonts w:ascii="Arial" w:hAnsi="Arial" w:cs="Arial"/>
                <w:color w:val="000000" w:themeColor="text1"/>
              </w:rPr>
              <w:t xml:space="preserve"> through a new multi-agency partnership structure, made up of senior strategic leads from PSB organisations and relevant partnerships</w:t>
            </w:r>
            <w:r w:rsidR="00CD01AF">
              <w:rPr>
                <w:rFonts w:ascii="Arial" w:hAnsi="Arial" w:cs="Arial"/>
                <w:color w:val="000000" w:themeColor="text1"/>
              </w:rPr>
              <w:t xml:space="preserve"> involved in keeping communities safe</w:t>
            </w:r>
            <w:r w:rsidR="006906D2">
              <w:rPr>
                <w:rFonts w:ascii="Arial" w:hAnsi="Arial" w:cs="Arial"/>
                <w:color w:val="000000" w:themeColor="text1"/>
              </w:rPr>
              <w:t>.</w:t>
            </w:r>
            <w:r w:rsidR="00CD01A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8E0AA8" w:rsidP="001F329A" w:rsidRDefault="008E0AA8" w14:paraId="1D8EB44B" w14:textId="77777777">
            <w:pPr>
              <w:rPr>
                <w:rFonts w:ascii="Arial" w:hAnsi="Arial" w:cs="Arial"/>
                <w:color w:val="000000" w:themeColor="text1"/>
              </w:rPr>
            </w:pPr>
          </w:p>
          <w:p w:rsidR="00CD01AF" w:rsidP="001F329A" w:rsidRDefault="00FC44CD" w14:paraId="58B2BCB4" w14:textId="6059095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This was also the </w:t>
            </w:r>
            <w:r w:rsidR="006906D2">
              <w:rPr>
                <w:rFonts w:ascii="Arial" w:hAnsi="Arial" w:cs="Arial"/>
                <w:color w:val="000000" w:themeColor="text1"/>
              </w:rPr>
              <w:t xml:space="preserve">primary recommendation coming from the community safety review, which </w:t>
            </w:r>
            <w:r w:rsidR="007A6EF2">
              <w:rPr>
                <w:rFonts w:ascii="Arial" w:hAnsi="Arial" w:cs="Arial"/>
                <w:color w:val="000000" w:themeColor="text1"/>
              </w:rPr>
              <w:t xml:space="preserve">also </w:t>
            </w:r>
            <w:r w:rsidR="006906D2">
              <w:rPr>
                <w:rFonts w:ascii="Arial" w:hAnsi="Arial" w:cs="Arial"/>
                <w:color w:val="000000" w:themeColor="text1"/>
              </w:rPr>
              <w:t>reported to the PSB in September 2024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="00992597">
              <w:rPr>
                <w:rFonts w:ascii="Arial" w:hAnsi="Arial" w:cs="Arial"/>
                <w:color w:val="000000" w:themeColor="text1"/>
              </w:rPr>
              <w:t xml:space="preserve">The PSB agreed </w:t>
            </w:r>
            <w:r w:rsidR="007A6EF2">
              <w:rPr>
                <w:rFonts w:ascii="Arial" w:hAnsi="Arial" w:cs="Arial"/>
                <w:color w:val="000000" w:themeColor="text1"/>
              </w:rPr>
              <w:t>this was necessary to</w:t>
            </w:r>
            <w:r w:rsidR="00C94F2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906D2">
              <w:rPr>
                <w:rFonts w:ascii="Arial" w:hAnsi="Arial" w:cs="Arial"/>
                <w:color w:val="000000" w:themeColor="text1"/>
              </w:rPr>
              <w:t>improv</w:t>
            </w:r>
            <w:r w:rsidR="00C94F20">
              <w:rPr>
                <w:rFonts w:ascii="Arial" w:hAnsi="Arial" w:cs="Arial"/>
                <w:color w:val="000000" w:themeColor="text1"/>
              </w:rPr>
              <w:t>e</w:t>
            </w:r>
            <w:r w:rsidR="006906D2">
              <w:rPr>
                <w:rFonts w:ascii="Arial" w:hAnsi="Arial" w:cs="Arial"/>
                <w:color w:val="000000" w:themeColor="text1"/>
              </w:rPr>
              <w:t xml:space="preserve"> how the range of partnerships that </w:t>
            </w:r>
            <w:r w:rsidR="00205E07">
              <w:rPr>
                <w:rFonts w:ascii="Arial" w:hAnsi="Arial" w:cs="Arial"/>
                <w:color w:val="000000" w:themeColor="text1"/>
              </w:rPr>
              <w:t>focus</w:t>
            </w:r>
            <w:r w:rsidR="006906D2">
              <w:rPr>
                <w:rFonts w:ascii="Arial" w:hAnsi="Arial" w:cs="Arial"/>
                <w:color w:val="000000" w:themeColor="text1"/>
              </w:rPr>
              <w:t xml:space="preserve"> on safer communities interact with each other</w:t>
            </w:r>
            <w:r w:rsidR="006A1D37">
              <w:rPr>
                <w:rFonts w:ascii="Arial" w:hAnsi="Arial" w:cs="Arial"/>
                <w:color w:val="000000" w:themeColor="text1"/>
              </w:rPr>
              <w:t xml:space="preserve"> at a strategic level</w:t>
            </w:r>
            <w:r w:rsidR="00CD01AF">
              <w:rPr>
                <w:rFonts w:ascii="Arial" w:hAnsi="Arial" w:cs="Arial"/>
                <w:color w:val="000000" w:themeColor="text1"/>
              </w:rPr>
              <w:t>. For e</w:t>
            </w:r>
            <w:r w:rsidR="006906D2">
              <w:rPr>
                <w:rFonts w:ascii="Arial" w:hAnsi="Arial" w:cs="Arial"/>
                <w:color w:val="000000" w:themeColor="text1"/>
              </w:rPr>
              <w:t xml:space="preserve">xample, by </w:t>
            </w:r>
            <w:r w:rsidR="00992139">
              <w:rPr>
                <w:rFonts w:ascii="Arial" w:hAnsi="Arial" w:cs="Arial"/>
                <w:color w:val="000000" w:themeColor="text1"/>
              </w:rPr>
              <w:t xml:space="preserve">deconflicting priorities and reducing </w:t>
            </w:r>
            <w:r w:rsidR="006906D2">
              <w:rPr>
                <w:rFonts w:ascii="Arial" w:hAnsi="Arial" w:cs="Arial"/>
                <w:color w:val="000000" w:themeColor="text1"/>
              </w:rPr>
              <w:t>duplication</w:t>
            </w:r>
            <w:r w:rsidR="00992139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6906D2">
              <w:rPr>
                <w:rFonts w:ascii="Arial" w:hAnsi="Arial" w:cs="Arial"/>
                <w:color w:val="000000" w:themeColor="text1"/>
              </w:rPr>
              <w:t xml:space="preserve">and offering a route </w:t>
            </w:r>
            <w:r w:rsidR="00205E07">
              <w:rPr>
                <w:rFonts w:ascii="Arial" w:hAnsi="Arial" w:cs="Arial"/>
                <w:color w:val="000000" w:themeColor="text1"/>
              </w:rPr>
              <w:t>to escalate</w:t>
            </w:r>
            <w:r w:rsidR="00992139">
              <w:rPr>
                <w:rFonts w:ascii="Arial" w:hAnsi="Arial" w:cs="Arial"/>
                <w:color w:val="000000" w:themeColor="text1"/>
              </w:rPr>
              <w:t xml:space="preserve"> strategic issues that cannot be solved </w:t>
            </w:r>
            <w:r w:rsidR="00205E07">
              <w:rPr>
                <w:rFonts w:ascii="Arial" w:hAnsi="Arial" w:cs="Arial"/>
                <w:color w:val="000000" w:themeColor="text1"/>
              </w:rPr>
              <w:t xml:space="preserve">by one partnership </w:t>
            </w:r>
            <w:r w:rsidR="00992139">
              <w:rPr>
                <w:rFonts w:ascii="Arial" w:hAnsi="Arial" w:cs="Arial"/>
                <w:color w:val="000000" w:themeColor="text1"/>
              </w:rPr>
              <w:t>in isolation</w:t>
            </w:r>
            <w:r w:rsidR="006906D2">
              <w:rPr>
                <w:rFonts w:ascii="Arial" w:hAnsi="Arial" w:cs="Arial"/>
                <w:color w:val="000000" w:themeColor="text1"/>
              </w:rPr>
              <w:t xml:space="preserve">. The PSB had been considered as the main route for escalation, but given the scale of business the PSB </w:t>
            </w:r>
            <w:proofErr w:type="gramStart"/>
            <w:r w:rsidR="006906D2">
              <w:rPr>
                <w:rFonts w:ascii="Arial" w:hAnsi="Arial" w:cs="Arial"/>
                <w:color w:val="000000" w:themeColor="text1"/>
              </w:rPr>
              <w:t>has to</w:t>
            </w:r>
            <w:proofErr w:type="gramEnd"/>
            <w:r w:rsidR="006906D2">
              <w:rPr>
                <w:rFonts w:ascii="Arial" w:hAnsi="Arial" w:cs="Arial"/>
                <w:color w:val="000000" w:themeColor="text1"/>
              </w:rPr>
              <w:t xml:space="preserve"> consider, a different forum </w:t>
            </w:r>
            <w:r w:rsidR="00CD01AF">
              <w:rPr>
                <w:rFonts w:ascii="Arial" w:hAnsi="Arial" w:cs="Arial"/>
                <w:color w:val="000000" w:themeColor="text1"/>
              </w:rPr>
              <w:t xml:space="preserve">was agreed to </w:t>
            </w:r>
            <w:r w:rsidR="006906D2">
              <w:rPr>
                <w:rFonts w:ascii="Arial" w:hAnsi="Arial" w:cs="Arial"/>
                <w:color w:val="000000" w:themeColor="text1"/>
              </w:rPr>
              <w:t>be needed.</w:t>
            </w:r>
            <w:r w:rsidR="00CD01A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CD01AF" w:rsidP="001F329A" w:rsidRDefault="00CD01AF" w14:paraId="42B8614C" w14:textId="77777777">
            <w:pPr>
              <w:rPr>
                <w:rFonts w:ascii="Arial" w:hAnsi="Arial" w:cs="Arial"/>
                <w:color w:val="000000" w:themeColor="text1"/>
              </w:rPr>
            </w:pPr>
          </w:p>
          <w:p w:rsidR="006906D2" w:rsidP="001F329A" w:rsidRDefault="00992139" w14:paraId="6411D3E9" w14:textId="52C94F3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="00CD01AF">
              <w:rPr>
                <w:rFonts w:ascii="Arial" w:hAnsi="Arial" w:cs="Arial"/>
                <w:color w:val="000000" w:themeColor="text1"/>
              </w:rPr>
              <w:t>herefore,</w:t>
            </w:r>
            <w:r w:rsidR="004F716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a set of terms of reference have been drafted for this new structure,</w:t>
            </w:r>
            <w:r w:rsidR="006906D2">
              <w:rPr>
                <w:rFonts w:ascii="Arial" w:hAnsi="Arial" w:cs="Arial"/>
                <w:color w:val="000000" w:themeColor="text1"/>
              </w:rPr>
              <w:t xml:space="preserve"> proposed </w:t>
            </w:r>
            <w:r>
              <w:rPr>
                <w:rFonts w:ascii="Arial" w:hAnsi="Arial" w:cs="Arial"/>
                <w:color w:val="000000" w:themeColor="text1"/>
              </w:rPr>
              <w:t xml:space="preserve">to be called the </w:t>
            </w:r>
            <w:r w:rsidR="006906D2">
              <w:rPr>
                <w:rFonts w:ascii="Arial" w:hAnsi="Arial" w:cs="Arial"/>
                <w:color w:val="000000" w:themeColor="text1"/>
              </w:rPr>
              <w:t>Gwent Strategic Safer Communities Partnership Board</w:t>
            </w:r>
            <w:r>
              <w:rPr>
                <w:rFonts w:ascii="Arial" w:hAnsi="Arial" w:cs="Arial"/>
                <w:color w:val="000000" w:themeColor="text1"/>
              </w:rPr>
              <w:t xml:space="preserve"> (name still to be confirmed). As per the agreed recommendation at the PSB, this will be</w:t>
            </w:r>
            <w:r w:rsidR="00CD01AF">
              <w:rPr>
                <w:rFonts w:ascii="Arial" w:hAnsi="Arial" w:cs="Arial"/>
                <w:color w:val="000000" w:themeColor="text1"/>
              </w:rPr>
              <w:t xml:space="preserve"> chaired by the Police and Crime Commissioner</w:t>
            </w:r>
            <w:r>
              <w:rPr>
                <w:rFonts w:ascii="Arial" w:hAnsi="Arial" w:cs="Arial"/>
                <w:color w:val="000000" w:themeColor="text1"/>
              </w:rPr>
              <w:t>. The</w:t>
            </w:r>
            <w:r w:rsidR="00CD01AF">
              <w:rPr>
                <w:rFonts w:ascii="Arial" w:hAnsi="Arial" w:cs="Arial"/>
                <w:color w:val="000000" w:themeColor="text1"/>
              </w:rPr>
              <w:t xml:space="preserve"> terms of reference for this new </w:t>
            </w:r>
            <w:r w:rsidR="000D51DD">
              <w:rPr>
                <w:rFonts w:ascii="Arial" w:hAnsi="Arial" w:cs="Arial"/>
                <w:color w:val="000000" w:themeColor="text1"/>
              </w:rPr>
              <w:t>b</w:t>
            </w:r>
            <w:r w:rsidR="0079227C">
              <w:rPr>
                <w:rFonts w:ascii="Arial" w:hAnsi="Arial" w:cs="Arial"/>
                <w:color w:val="000000" w:themeColor="text1"/>
              </w:rPr>
              <w:t>oard</w:t>
            </w:r>
            <w:r w:rsidR="00CD01AF">
              <w:rPr>
                <w:rFonts w:ascii="Arial" w:hAnsi="Arial" w:cs="Arial"/>
                <w:color w:val="000000" w:themeColor="text1"/>
              </w:rPr>
              <w:t xml:space="preserve"> are attached to this report for scrutiny. </w:t>
            </w:r>
          </w:p>
          <w:p w:rsidR="006906D2" w:rsidP="001F329A" w:rsidRDefault="006906D2" w14:paraId="3BE11400" w14:textId="77777777">
            <w:pPr>
              <w:rPr>
                <w:rFonts w:ascii="Arial" w:hAnsi="Arial" w:cs="Arial"/>
                <w:color w:val="000000" w:themeColor="text1"/>
              </w:rPr>
            </w:pPr>
          </w:p>
          <w:p w:rsidR="000D51DD" w:rsidP="000D51DD" w:rsidRDefault="00791A18" w14:paraId="1753A9A8" w14:textId="46DAC91D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Overall, t</w:t>
            </w:r>
            <w:r w:rsidRPr="001F329A" w:rsidR="006906D2">
              <w:rPr>
                <w:rFonts w:ascii="Arial" w:hAnsi="Arial" w:cs="Arial"/>
                <w:color w:val="000000" w:themeColor="text1"/>
              </w:rPr>
              <w:t xml:space="preserve">his </w:t>
            </w:r>
            <w:r w:rsidR="006906D2">
              <w:rPr>
                <w:rFonts w:ascii="Arial" w:hAnsi="Arial" w:cs="Arial"/>
                <w:color w:val="000000" w:themeColor="text1"/>
              </w:rPr>
              <w:t xml:space="preserve">new </w:t>
            </w:r>
            <w:r w:rsidRPr="001F329A" w:rsidR="006906D2">
              <w:rPr>
                <w:rFonts w:ascii="Arial" w:hAnsi="Arial" w:cs="Arial"/>
                <w:color w:val="000000" w:themeColor="text1"/>
              </w:rPr>
              <w:t xml:space="preserve">board will provide whole system leadership </w:t>
            </w:r>
            <w:r w:rsidR="00992139">
              <w:rPr>
                <w:rFonts w:ascii="Arial" w:hAnsi="Arial" w:cs="Arial"/>
                <w:color w:val="000000" w:themeColor="text1"/>
              </w:rPr>
              <w:t>for</w:t>
            </w:r>
            <w:r w:rsidRPr="001F329A" w:rsidR="006906D2">
              <w:rPr>
                <w:rFonts w:ascii="Arial" w:hAnsi="Arial" w:cs="Arial"/>
                <w:color w:val="000000" w:themeColor="text1"/>
              </w:rPr>
              <w:t xml:space="preserve"> building safer communities in Gwent</w:t>
            </w:r>
            <w:r w:rsidR="00992139">
              <w:rPr>
                <w:rFonts w:ascii="Arial" w:hAnsi="Arial" w:cs="Arial"/>
                <w:color w:val="000000" w:themeColor="text1"/>
              </w:rPr>
              <w:t xml:space="preserve"> and </w:t>
            </w:r>
            <w:r w:rsidR="00747FD0">
              <w:rPr>
                <w:rFonts w:ascii="Arial" w:hAnsi="Arial" w:cs="Arial"/>
                <w:color w:val="000000" w:themeColor="text1"/>
              </w:rPr>
              <w:t>enable the delivery of</w:t>
            </w:r>
            <w:r w:rsidR="00992139">
              <w:rPr>
                <w:rFonts w:ascii="Arial" w:hAnsi="Arial" w:cs="Arial"/>
                <w:color w:val="000000" w:themeColor="text1"/>
              </w:rPr>
              <w:t xml:space="preserve"> the safer places priority.</w:t>
            </w:r>
            <w:r w:rsidR="00A36744">
              <w:rPr>
                <w:rFonts w:ascii="Arial" w:hAnsi="Arial" w:cs="Arial"/>
                <w:color w:val="000000" w:themeColor="text1"/>
              </w:rPr>
              <w:t xml:space="preserve"> The </w:t>
            </w:r>
            <w:r w:rsidR="000D51DD">
              <w:rPr>
                <w:rFonts w:ascii="Arial" w:hAnsi="Arial" w:cs="Arial"/>
                <w:color w:val="000000" w:themeColor="text1"/>
              </w:rPr>
              <w:t xml:space="preserve">partnerships affected by </w:t>
            </w:r>
            <w:r w:rsidR="003A5AD8">
              <w:rPr>
                <w:rFonts w:ascii="Arial" w:hAnsi="Arial" w:cs="Arial"/>
                <w:color w:val="000000" w:themeColor="text1"/>
              </w:rPr>
              <w:t>these developments</w:t>
            </w:r>
            <w:r w:rsidR="000D51DD">
              <w:rPr>
                <w:rFonts w:ascii="Arial" w:hAnsi="Arial" w:cs="Arial"/>
                <w:color w:val="000000" w:themeColor="text1"/>
              </w:rPr>
              <w:t xml:space="preserve"> are:</w:t>
            </w:r>
          </w:p>
          <w:p w:rsidRPr="000D51DD" w:rsidR="000D51DD" w:rsidP="000D51DD" w:rsidRDefault="000D51DD" w14:paraId="7FA04F18" w14:textId="77777777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</w:rPr>
            </w:pPr>
            <w:r w:rsidRPr="000D51DD">
              <w:rPr>
                <w:rFonts w:ascii="Arial" w:hAnsi="Arial" w:cs="Arial"/>
              </w:rPr>
              <w:t>Five Community Safety Partnerships</w:t>
            </w:r>
          </w:p>
          <w:p w:rsidRPr="000D51DD" w:rsidR="000D51DD" w:rsidP="000D51DD" w:rsidRDefault="000D51DD" w14:paraId="44074D58" w14:textId="77777777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</w:rPr>
            </w:pPr>
            <w:r w:rsidRPr="000D51DD">
              <w:rPr>
                <w:rFonts w:ascii="Arial" w:hAnsi="Arial" w:cs="Arial"/>
              </w:rPr>
              <w:t>Gwent Area Planning Board</w:t>
            </w:r>
          </w:p>
          <w:p w:rsidRPr="000D51DD" w:rsidR="000D51DD" w:rsidP="000D51DD" w:rsidRDefault="000D51DD" w14:paraId="672F0C19" w14:textId="77777777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</w:rPr>
            </w:pPr>
            <w:r w:rsidRPr="000D51DD">
              <w:rPr>
                <w:rFonts w:ascii="Arial" w:hAnsi="Arial" w:cs="Arial"/>
              </w:rPr>
              <w:t>Gwent CONTEST Board</w:t>
            </w:r>
          </w:p>
          <w:p w:rsidRPr="000D51DD" w:rsidR="000D51DD" w:rsidP="000D51DD" w:rsidRDefault="000D51DD" w14:paraId="12F000D6" w14:textId="77777777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</w:rPr>
            </w:pPr>
            <w:r w:rsidRPr="000D51DD">
              <w:rPr>
                <w:rFonts w:ascii="Arial" w:hAnsi="Arial" w:cs="Arial"/>
              </w:rPr>
              <w:t>Gwent Safeguarding Board</w:t>
            </w:r>
          </w:p>
          <w:p w:rsidRPr="000D51DD" w:rsidR="000D51DD" w:rsidP="000D51DD" w:rsidRDefault="000D51DD" w14:paraId="1C5CDED9" w14:textId="77777777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</w:rPr>
            </w:pPr>
            <w:r w:rsidRPr="000D51DD">
              <w:rPr>
                <w:rFonts w:ascii="Arial" w:hAnsi="Arial" w:cs="Arial"/>
              </w:rPr>
              <w:t>Gwent Serious Organised Crime Partnership Group</w:t>
            </w:r>
          </w:p>
          <w:p w:rsidRPr="000D51DD" w:rsidR="000D51DD" w:rsidP="000D51DD" w:rsidRDefault="000D51DD" w14:paraId="31DDDACA" w14:textId="77777777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</w:rPr>
            </w:pPr>
            <w:r w:rsidRPr="000D51DD">
              <w:rPr>
                <w:rFonts w:ascii="Arial" w:hAnsi="Arial" w:cs="Arial"/>
              </w:rPr>
              <w:t>Gwent Strategic Criminal Justice Board</w:t>
            </w:r>
          </w:p>
          <w:p w:rsidR="000D51DD" w:rsidP="00992139" w:rsidRDefault="000D51DD" w14:paraId="322A4886" w14:textId="4737BF9D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</w:rPr>
            </w:pPr>
            <w:r w:rsidRPr="000D51DD">
              <w:rPr>
                <w:rFonts w:ascii="Arial" w:hAnsi="Arial" w:cs="Arial"/>
              </w:rPr>
              <w:t>Gwent VAWDASV Board</w:t>
            </w:r>
          </w:p>
          <w:p w:rsidRPr="000D51DD" w:rsidR="00F60184" w:rsidP="00992139" w:rsidRDefault="00F60184" w14:paraId="201833A6" w14:textId="7940D2E4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Gwent Serious Violence Duty Working Group</w:t>
            </w:r>
          </w:p>
          <w:p w:rsidR="00DE4A49" w:rsidP="00992139" w:rsidRDefault="00492FDF" w14:paraId="7AC303CD" w14:textId="30FF3C1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Importantly</w:t>
            </w:r>
            <w:r w:rsidR="00651E4D">
              <w:rPr>
                <w:rFonts w:ascii="Arial" w:hAnsi="Arial" w:cs="Arial"/>
                <w:color w:val="000000" w:themeColor="text1"/>
              </w:rPr>
              <w:t>, t</w:t>
            </w:r>
            <w:r w:rsidR="00CD01AF">
              <w:rPr>
                <w:rFonts w:ascii="Arial" w:hAnsi="Arial" w:cs="Arial"/>
                <w:color w:val="000000" w:themeColor="text1"/>
              </w:rPr>
              <w:t xml:space="preserve">his new </w:t>
            </w:r>
            <w:r w:rsidR="008D70B9">
              <w:rPr>
                <w:rFonts w:ascii="Arial" w:hAnsi="Arial" w:cs="Arial"/>
                <w:color w:val="000000" w:themeColor="text1"/>
              </w:rPr>
              <w:t>Board</w:t>
            </w:r>
            <w:r w:rsidR="00CD01AF">
              <w:rPr>
                <w:rFonts w:ascii="Arial" w:hAnsi="Arial" w:cs="Arial"/>
                <w:color w:val="000000" w:themeColor="text1"/>
              </w:rPr>
              <w:t xml:space="preserve"> will not be </w:t>
            </w:r>
            <w:r w:rsidR="00651E4D">
              <w:rPr>
                <w:rFonts w:ascii="Arial" w:hAnsi="Arial" w:cs="Arial"/>
                <w:color w:val="000000" w:themeColor="text1"/>
              </w:rPr>
              <w:t>developed</w:t>
            </w:r>
            <w:r w:rsidR="00CD01AF">
              <w:rPr>
                <w:rFonts w:ascii="Arial" w:hAnsi="Arial" w:cs="Arial"/>
                <w:color w:val="000000" w:themeColor="text1"/>
              </w:rPr>
              <w:t xml:space="preserve"> to </w:t>
            </w:r>
            <w:r w:rsidR="00E4302D">
              <w:rPr>
                <w:rFonts w:ascii="Arial" w:hAnsi="Arial" w:cs="Arial"/>
                <w:color w:val="000000" w:themeColor="text1"/>
              </w:rPr>
              <w:t>carry out the statutory functions of those partnerships</w:t>
            </w:r>
            <w:r w:rsidR="00AC7277">
              <w:rPr>
                <w:rFonts w:ascii="Arial" w:hAnsi="Arial" w:cs="Arial"/>
                <w:color w:val="000000" w:themeColor="text1"/>
              </w:rPr>
              <w:t>, which will remain in those structures</w:t>
            </w:r>
            <w:r w:rsidR="00E4302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AC7277">
              <w:rPr>
                <w:rFonts w:ascii="Arial" w:hAnsi="Arial" w:cs="Arial"/>
                <w:color w:val="000000" w:themeColor="text1"/>
              </w:rPr>
              <w:t>Nor will i</w:t>
            </w:r>
            <w:r w:rsidR="00E4302D">
              <w:rPr>
                <w:rFonts w:ascii="Arial" w:hAnsi="Arial" w:cs="Arial"/>
                <w:color w:val="000000" w:themeColor="text1"/>
              </w:rPr>
              <w:t xml:space="preserve">t </w:t>
            </w:r>
            <w:r w:rsidR="006B4DBE">
              <w:rPr>
                <w:rFonts w:ascii="Arial" w:hAnsi="Arial" w:cs="Arial"/>
                <w:color w:val="000000" w:themeColor="text1"/>
              </w:rPr>
              <w:t xml:space="preserve">intend to </w:t>
            </w:r>
            <w:r w:rsidR="00CD01AF">
              <w:rPr>
                <w:rFonts w:ascii="Arial" w:hAnsi="Arial" w:cs="Arial"/>
                <w:color w:val="000000" w:themeColor="text1"/>
              </w:rPr>
              <w:t>create any additional workload</w:t>
            </w:r>
            <w:r w:rsidR="00E430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B4DBE">
              <w:rPr>
                <w:rFonts w:ascii="Arial" w:hAnsi="Arial" w:cs="Arial"/>
                <w:color w:val="000000" w:themeColor="text1"/>
              </w:rPr>
              <w:t>for them</w:t>
            </w:r>
            <w:r w:rsidR="00CD01AF">
              <w:rPr>
                <w:rFonts w:ascii="Arial" w:hAnsi="Arial" w:cs="Arial"/>
                <w:color w:val="000000" w:themeColor="text1"/>
              </w:rPr>
              <w:t xml:space="preserve">, except where that is requested </w:t>
            </w:r>
            <w:r w:rsidR="006B4DBE">
              <w:rPr>
                <w:rFonts w:ascii="Arial" w:hAnsi="Arial" w:cs="Arial"/>
                <w:color w:val="000000" w:themeColor="text1"/>
              </w:rPr>
              <w:t xml:space="preserve">and agreed as necessary </w:t>
            </w:r>
            <w:r w:rsidR="00CD01AF">
              <w:rPr>
                <w:rFonts w:ascii="Arial" w:hAnsi="Arial" w:cs="Arial"/>
                <w:color w:val="000000" w:themeColor="text1"/>
              </w:rPr>
              <w:t xml:space="preserve">by those partnerships or as required to deliver the safer places priority. </w:t>
            </w:r>
          </w:p>
          <w:p w:rsidR="008F6BB1" w:rsidP="00992139" w:rsidRDefault="008F6BB1" w14:paraId="118767C5" w14:textId="77777777">
            <w:pPr>
              <w:rPr>
                <w:rFonts w:ascii="Arial" w:hAnsi="Arial" w:cs="Arial"/>
                <w:color w:val="000000" w:themeColor="text1"/>
              </w:rPr>
            </w:pPr>
          </w:p>
          <w:p w:rsidR="000D51DD" w:rsidP="00E4302D" w:rsidRDefault="00492FDF" w14:paraId="55B71337" w14:textId="777777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Finally</w:t>
            </w:r>
            <w:r w:rsidR="008F6BB1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08733D">
              <w:rPr>
                <w:rFonts w:ascii="Arial" w:hAnsi="Arial" w:cs="Arial"/>
                <w:color w:val="000000" w:themeColor="text1"/>
              </w:rPr>
              <w:t xml:space="preserve">due to the timing of this scrutiny meeting, </w:t>
            </w:r>
            <w:r w:rsidR="008F6BB1">
              <w:rPr>
                <w:rFonts w:ascii="Arial" w:hAnsi="Arial" w:cs="Arial"/>
                <w:color w:val="000000" w:themeColor="text1"/>
              </w:rPr>
              <w:t>these terms of reference have not been shared with wider PSB partners at this stage</w:t>
            </w:r>
            <w:r w:rsidR="00D32B50">
              <w:rPr>
                <w:rFonts w:ascii="Arial" w:hAnsi="Arial" w:cs="Arial"/>
                <w:color w:val="000000" w:themeColor="text1"/>
              </w:rPr>
              <w:t xml:space="preserve">. Following discussion </w:t>
            </w:r>
            <w:r w:rsidR="00D62F1D">
              <w:rPr>
                <w:rFonts w:ascii="Arial" w:hAnsi="Arial" w:cs="Arial"/>
                <w:color w:val="000000" w:themeColor="text1"/>
              </w:rPr>
              <w:t>by PSB partners at the full board meeting in March, the terms of reference may be subject to change.</w:t>
            </w:r>
          </w:p>
          <w:p w:rsidR="003A09D0" w:rsidP="00E4302D" w:rsidRDefault="003A09D0" w14:paraId="7B171037" w14:textId="77777777">
            <w:pPr>
              <w:rPr>
                <w:rFonts w:ascii="Arial" w:hAnsi="Arial" w:cs="Arial"/>
                <w:color w:val="000000" w:themeColor="text1"/>
              </w:rPr>
            </w:pPr>
          </w:p>
          <w:p w:rsidRPr="00E4302D" w:rsidR="001D7A78" w:rsidP="00E4302D" w:rsidRDefault="003A09D0" w14:paraId="3F811936" w14:textId="2600404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This report and the terms of reference went through regional scrutiny on 19/03/25, </w:t>
            </w:r>
            <w:r w:rsidR="006D4965">
              <w:rPr>
                <w:rFonts w:ascii="Arial" w:hAnsi="Arial" w:cs="Arial"/>
                <w:color w:val="000000" w:themeColor="text1"/>
              </w:rPr>
              <w:t xml:space="preserve">with feedback supportive of this new approach. </w:t>
            </w:r>
          </w:p>
        </w:tc>
      </w:tr>
      <w:tr w:rsidRPr="001A588D" w:rsidR="0007738D" w:rsidTr="462FDBF9" w14:paraId="35E45502" w14:textId="77777777">
        <w:tc>
          <w:tcPr>
            <w:tcW w:w="765" w:type="dxa"/>
            <w:tcMar/>
          </w:tcPr>
          <w:p w:rsidRPr="00A8310A" w:rsidR="0007738D" w:rsidP="0007738D" w:rsidRDefault="00992139" w14:paraId="5EA25E02" w14:textId="223D9C6F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br/>
            </w:r>
            <w:r w:rsidR="00273BD5">
              <w:rPr>
                <w:rFonts w:ascii="Arial" w:hAnsi="Arial" w:eastAsia="Arial" w:cs="Arial"/>
                <w:b/>
                <w:bCs/>
              </w:rPr>
              <w:t>4</w:t>
            </w:r>
          </w:p>
        </w:tc>
        <w:tc>
          <w:tcPr>
            <w:tcW w:w="8586" w:type="dxa"/>
            <w:tcMar/>
          </w:tcPr>
          <w:p w:rsidRPr="00B92A78" w:rsidR="0007738D" w:rsidP="007657A5" w:rsidRDefault="00992139" w14:paraId="15FD6A51" w14:textId="30A70D1E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br/>
            </w:r>
            <w:r w:rsidRPr="00B92A78" w:rsidR="0007738D">
              <w:rPr>
                <w:rFonts w:ascii="Arial" w:hAnsi="Arial" w:eastAsia="Arial" w:cs="Arial"/>
                <w:b/>
                <w:bCs/>
              </w:rPr>
              <w:t xml:space="preserve">Funding </w:t>
            </w:r>
          </w:p>
        </w:tc>
      </w:tr>
      <w:tr w:rsidRPr="001A588D" w:rsidR="0007738D" w:rsidTr="462FDBF9" w14:paraId="37FC2592" w14:textId="77777777">
        <w:tc>
          <w:tcPr>
            <w:tcW w:w="765" w:type="dxa"/>
            <w:tcMar/>
          </w:tcPr>
          <w:p w:rsidRPr="000545DB" w:rsidR="0007738D" w:rsidP="0007738D" w:rsidRDefault="0007738D" w14:paraId="139DEE5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6" w:type="dxa"/>
            <w:tcMar/>
          </w:tcPr>
          <w:p w:rsidRPr="00B92A78" w:rsidR="0007738D" w:rsidP="0007738D" w:rsidRDefault="0007738D" w14:paraId="2CCC62EF" w14:textId="77777777">
            <w:pPr>
              <w:rPr>
                <w:rFonts w:ascii="Arial" w:hAnsi="Arial" w:cs="Arial"/>
                <w:highlight w:val="red"/>
              </w:rPr>
            </w:pPr>
          </w:p>
        </w:tc>
      </w:tr>
      <w:tr w:rsidRPr="001A588D" w:rsidR="0007738D" w:rsidTr="462FDBF9" w14:paraId="519EF3EA" w14:textId="77777777">
        <w:tc>
          <w:tcPr>
            <w:tcW w:w="765" w:type="dxa"/>
            <w:tcMar/>
          </w:tcPr>
          <w:p w:rsidRPr="28E75779" w:rsidR="0007738D" w:rsidP="0007738D" w:rsidRDefault="00273BD5" w14:paraId="3380BA7A" w14:textId="40EF1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8586" w:type="dxa"/>
            <w:tcMar/>
          </w:tcPr>
          <w:p w:rsidRPr="00B92A78" w:rsidR="0007738D" w:rsidP="0007738D" w:rsidRDefault="00D36E62" w14:paraId="6C7EA579" w14:textId="53D95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F75D9">
              <w:rPr>
                <w:rFonts w:ascii="Arial" w:hAnsi="Arial" w:cs="Arial"/>
              </w:rPr>
              <w:t xml:space="preserve">t this stage </w:t>
            </w:r>
            <w:r>
              <w:rPr>
                <w:rFonts w:ascii="Arial" w:hAnsi="Arial" w:cs="Arial"/>
              </w:rPr>
              <w:t xml:space="preserve">there are </w:t>
            </w:r>
            <w:r w:rsidR="000F75D9">
              <w:rPr>
                <w:rFonts w:ascii="Arial" w:hAnsi="Arial" w:cs="Arial"/>
              </w:rPr>
              <w:t xml:space="preserve">no specific funding </w:t>
            </w:r>
            <w:r>
              <w:rPr>
                <w:rFonts w:ascii="Arial" w:hAnsi="Arial" w:cs="Arial"/>
              </w:rPr>
              <w:t>requirements</w:t>
            </w:r>
            <w:r w:rsidR="000F75D9">
              <w:rPr>
                <w:rFonts w:ascii="Arial" w:hAnsi="Arial" w:cs="Arial"/>
              </w:rPr>
              <w:t xml:space="preserve"> for the PSB to consider. </w:t>
            </w:r>
            <w:r w:rsidR="008F6BB1">
              <w:rPr>
                <w:rFonts w:ascii="Arial" w:hAnsi="Arial" w:cs="Arial"/>
              </w:rPr>
              <w:t xml:space="preserve">Support to the new </w:t>
            </w:r>
            <w:r w:rsidR="000D51DD">
              <w:rPr>
                <w:rFonts w:ascii="Arial" w:hAnsi="Arial" w:cs="Arial"/>
              </w:rPr>
              <w:t>b</w:t>
            </w:r>
            <w:r w:rsidR="008F6BB1">
              <w:rPr>
                <w:rFonts w:ascii="Arial" w:hAnsi="Arial" w:cs="Arial"/>
              </w:rPr>
              <w:t>oard will</w:t>
            </w:r>
            <w:r w:rsidR="00512F25">
              <w:rPr>
                <w:rFonts w:ascii="Arial" w:hAnsi="Arial" w:cs="Arial"/>
              </w:rPr>
              <w:t xml:space="preserve"> be provided by the Office of the Police and Crime Commissioner. Any funding required to deliver the </w:t>
            </w:r>
            <w:r w:rsidR="00DA5343">
              <w:rPr>
                <w:rFonts w:ascii="Arial" w:hAnsi="Arial" w:cs="Arial"/>
              </w:rPr>
              <w:t xml:space="preserve">safer places </w:t>
            </w:r>
            <w:proofErr w:type="gramStart"/>
            <w:r w:rsidR="00DA5343">
              <w:rPr>
                <w:rFonts w:ascii="Arial" w:hAnsi="Arial" w:cs="Arial"/>
              </w:rPr>
              <w:t>priorit</w:t>
            </w:r>
            <w:r w:rsidR="00372584">
              <w:rPr>
                <w:rFonts w:ascii="Arial" w:hAnsi="Arial" w:cs="Arial"/>
              </w:rPr>
              <w:t>y</w:t>
            </w:r>
            <w:proofErr w:type="gramEnd"/>
            <w:r w:rsidR="00DA5343">
              <w:rPr>
                <w:rFonts w:ascii="Arial" w:hAnsi="Arial" w:cs="Arial"/>
              </w:rPr>
              <w:t xml:space="preserve"> or any other business developed by the </w:t>
            </w:r>
            <w:r w:rsidR="000D51DD">
              <w:rPr>
                <w:rFonts w:ascii="Arial" w:hAnsi="Arial" w:cs="Arial"/>
              </w:rPr>
              <w:t>b</w:t>
            </w:r>
            <w:r w:rsidR="00DA5343">
              <w:rPr>
                <w:rFonts w:ascii="Arial" w:hAnsi="Arial" w:cs="Arial"/>
              </w:rPr>
              <w:t xml:space="preserve">oard will be </w:t>
            </w:r>
            <w:r w:rsidR="00D47FE0">
              <w:rPr>
                <w:rFonts w:ascii="Arial" w:hAnsi="Arial" w:cs="Arial"/>
              </w:rPr>
              <w:t xml:space="preserve">managed through business as usual. Any requests for funding to the PSB will be by exception only. </w:t>
            </w:r>
          </w:p>
        </w:tc>
      </w:tr>
      <w:tr w:rsidRPr="001A588D" w:rsidR="00273BD5" w:rsidTr="462FDBF9" w14:paraId="5AB2A03C" w14:textId="77777777">
        <w:tc>
          <w:tcPr>
            <w:tcW w:w="765" w:type="dxa"/>
            <w:tcMar/>
          </w:tcPr>
          <w:p w:rsidR="00273BD5" w:rsidP="0007738D" w:rsidRDefault="00273BD5" w14:paraId="3AFC8E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6" w:type="dxa"/>
            <w:tcMar/>
          </w:tcPr>
          <w:p w:rsidRPr="00B92A78" w:rsidR="00273BD5" w:rsidP="0007738D" w:rsidRDefault="00273BD5" w14:paraId="05F31D2B" w14:textId="77777777">
            <w:pPr>
              <w:rPr>
                <w:rFonts w:ascii="Arial" w:hAnsi="Arial" w:cs="Arial"/>
              </w:rPr>
            </w:pPr>
          </w:p>
        </w:tc>
      </w:tr>
      <w:tr w:rsidR="00B92A78" w:rsidTr="462FDBF9" w14:paraId="2A2E47C3" w14:textId="77777777">
        <w:tc>
          <w:tcPr>
            <w:tcW w:w="765" w:type="dxa"/>
            <w:tcMar/>
          </w:tcPr>
          <w:p w:rsidRPr="0024588C" w:rsidR="00B92A78" w:rsidP="00B92A78" w:rsidRDefault="0024588C" w14:paraId="7617D425" w14:textId="4E4639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88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586" w:type="dxa"/>
            <w:tcMar/>
          </w:tcPr>
          <w:p w:rsidRPr="00B92A78" w:rsidR="00B92A78" w:rsidP="00B92A78" w:rsidRDefault="00B92A78" w14:paraId="0B3277E5" w14:textId="796DEA79">
            <w:pPr>
              <w:rPr>
                <w:rFonts w:ascii="Arial" w:hAnsi="Arial" w:cs="Arial"/>
              </w:rPr>
            </w:pPr>
            <w:r w:rsidRPr="00B92A78">
              <w:rPr>
                <w:rFonts w:ascii="Arial" w:hAnsi="Arial" w:eastAsia="Arial" w:cs="Arial"/>
                <w:b/>
                <w:bCs/>
              </w:rPr>
              <w:t>Recommendations</w:t>
            </w:r>
          </w:p>
        </w:tc>
      </w:tr>
      <w:tr w:rsidR="00B92A78" w:rsidTr="462FDBF9" w14:paraId="1D4CB436" w14:textId="77777777">
        <w:tc>
          <w:tcPr>
            <w:tcW w:w="765" w:type="dxa"/>
            <w:tcMar/>
          </w:tcPr>
          <w:p w:rsidRPr="00867993" w:rsidR="00B92A78" w:rsidP="00B92A78" w:rsidRDefault="00B92A78" w14:paraId="2CF4E7D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6" w:type="dxa"/>
            <w:tcMar/>
          </w:tcPr>
          <w:p w:rsidRPr="00B92A78" w:rsidR="00B92A78" w:rsidP="00B92A78" w:rsidRDefault="00B92A78" w14:paraId="4A6EF228" w14:textId="77777777">
            <w:pPr>
              <w:rPr>
                <w:rFonts w:ascii="Arial" w:hAnsi="Arial" w:cs="Arial"/>
              </w:rPr>
            </w:pPr>
          </w:p>
        </w:tc>
      </w:tr>
      <w:tr w:rsidR="00B92A78" w:rsidTr="462FDBF9" w14:paraId="243F2582" w14:textId="77777777">
        <w:tc>
          <w:tcPr>
            <w:tcW w:w="765" w:type="dxa"/>
            <w:tcMar/>
          </w:tcPr>
          <w:p w:rsidRPr="00867993" w:rsidR="00B92A78" w:rsidP="00B92A78" w:rsidRDefault="0024588C" w14:paraId="197D0923" w14:textId="74C5A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28E75779" w:rsidR="00B92A78">
              <w:rPr>
                <w:rFonts w:ascii="Arial" w:hAnsi="Arial" w:eastAsia="Arial" w:cs="Arial"/>
                <w:sz w:val="22"/>
                <w:szCs w:val="22"/>
              </w:rPr>
              <w:t>.1</w:t>
            </w:r>
          </w:p>
        </w:tc>
        <w:tc>
          <w:tcPr>
            <w:tcW w:w="8586" w:type="dxa"/>
            <w:tcMar/>
          </w:tcPr>
          <w:p w:rsidR="00B92A78" w:rsidP="00B92A78" w:rsidRDefault="00EC06F8" w14:paraId="5875A1DF" w14:textId="0BFEE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the Gwent Public Services Board:</w:t>
            </w:r>
          </w:p>
          <w:p w:rsidR="00EC06F8" w:rsidP="00B92A78" w:rsidRDefault="00EC06F8" w14:paraId="45EA873F" w14:textId="77777777">
            <w:pPr>
              <w:rPr>
                <w:rFonts w:ascii="Arial" w:hAnsi="Arial" w:cs="Arial"/>
              </w:rPr>
            </w:pPr>
          </w:p>
          <w:p w:rsidR="00EC06F8" w:rsidP="00673755" w:rsidRDefault="00D8726D" w14:paraId="7625E59C" w14:textId="7FE5F02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to the approach proposed in this </w:t>
            </w:r>
            <w:r w:rsidR="00DA4FE7">
              <w:rPr>
                <w:rFonts w:ascii="Arial" w:hAnsi="Arial" w:cs="Arial"/>
              </w:rPr>
              <w:t>report and as set out in the draft terms of reference</w:t>
            </w:r>
          </w:p>
          <w:p w:rsidRPr="00673755" w:rsidR="00952681" w:rsidP="00673755" w:rsidRDefault="00DA4FE7" w14:paraId="6CD43697" w14:textId="2FC2BAA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that any amendments to the terms of reference will be </w:t>
            </w:r>
            <w:r w:rsidR="00C9309F">
              <w:rPr>
                <w:rFonts w:ascii="Arial" w:hAnsi="Arial" w:cs="Arial"/>
              </w:rPr>
              <w:t>determined by the new Board, when established</w:t>
            </w:r>
          </w:p>
        </w:tc>
      </w:tr>
      <w:tr w:rsidR="00EC06F8" w:rsidTr="462FDBF9" w14:paraId="5A235DB8" w14:textId="77777777">
        <w:tc>
          <w:tcPr>
            <w:tcW w:w="765" w:type="dxa"/>
            <w:tcMar/>
          </w:tcPr>
          <w:p w:rsidRPr="28E75779" w:rsidR="00EC06F8" w:rsidP="00B92A78" w:rsidRDefault="00EC06F8" w14:paraId="643701F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8586" w:type="dxa"/>
            <w:tcMar/>
          </w:tcPr>
          <w:p w:rsidR="00EC06F8" w:rsidP="00B92A78" w:rsidRDefault="00EC06F8" w14:paraId="2D52BCD7" w14:textId="77777777">
            <w:pPr>
              <w:rPr>
                <w:rFonts w:ascii="Arial" w:hAnsi="Arial" w:cs="Arial"/>
              </w:rPr>
            </w:pPr>
          </w:p>
        </w:tc>
      </w:tr>
      <w:tr w:rsidR="00D02AA5" w:rsidTr="462FDBF9" w14:paraId="0D922E2F" w14:textId="77777777">
        <w:tc>
          <w:tcPr>
            <w:tcW w:w="765" w:type="dxa"/>
            <w:tcMar/>
          </w:tcPr>
          <w:p w:rsidRPr="28E75779" w:rsidR="00D02AA5" w:rsidP="00B92A78" w:rsidRDefault="00D02AA5" w14:paraId="030817B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6" w:type="dxa"/>
            <w:tcMar/>
          </w:tcPr>
          <w:p w:rsidR="00D02AA5" w:rsidP="00B92A78" w:rsidRDefault="00D02AA5" w14:paraId="68833B98" w14:textId="77777777">
            <w:pPr>
              <w:rPr>
                <w:rFonts w:ascii="Arial" w:hAnsi="Arial" w:cs="Arial"/>
              </w:rPr>
            </w:pPr>
          </w:p>
        </w:tc>
      </w:tr>
      <w:tr w:rsidR="00D02AA5" w:rsidTr="462FDBF9" w14:paraId="0E092D91" w14:textId="77777777">
        <w:tc>
          <w:tcPr>
            <w:tcW w:w="765" w:type="dxa"/>
            <w:tcMar/>
          </w:tcPr>
          <w:p w:rsidRPr="28E75779" w:rsidR="00D02AA5" w:rsidP="00B92A78" w:rsidRDefault="00D02AA5" w14:paraId="133731D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6" w:type="dxa"/>
            <w:tcMar/>
          </w:tcPr>
          <w:p w:rsidR="00D02AA5" w:rsidP="00B92A78" w:rsidRDefault="00D02AA5" w14:paraId="5258699D" w14:textId="4CAD4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Background Documents</w:t>
            </w:r>
          </w:p>
          <w:p w:rsidRPr="00D02AA5" w:rsidR="00D02AA5" w:rsidP="00B92A78" w:rsidRDefault="00D02AA5" w14:paraId="477FD488" w14:textId="09137C8B">
            <w:pPr>
              <w:rPr>
                <w:rFonts w:ascii="Arial" w:hAnsi="Arial" w:cs="Arial"/>
              </w:rPr>
            </w:pPr>
          </w:p>
        </w:tc>
      </w:tr>
    </w:tbl>
    <w:bookmarkStart w:name="_MON_1802867537" w:id="1"/>
    <w:bookmarkStart w:name="_MON_1684058292" w:id="2"/>
    <w:bookmarkStart w:name="_MON_1683375776" w:id="3"/>
    <w:bookmarkEnd w:id="1"/>
    <w:bookmarkEnd w:id="2"/>
    <w:bookmarkEnd w:id="3"/>
    <w:bookmarkStart w:name="_MON_1682430729" w:id="4"/>
    <w:bookmarkEnd w:id="4"/>
    <w:p w:rsidRPr="00D20EE5" w:rsidR="00D20EE5" w:rsidP="2D479C8F" w:rsidRDefault="0042284D" w14:paraId="0EDD5FF8" w14:textId="239D7D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500" w:dyaOrig="981" w14:anchorId="6BE2734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in;height:50.25pt" o:ole="" type="#_x0000_t75">
            <v:imagedata o:title="" r:id="rId11"/>
          </v:shape>
          <o:OLEObject Type="Embed" ProgID="Word.Document.12" ShapeID="_x0000_i1025" DrawAspect="Icon" ObjectID="_1804058072" r:id="rId12">
            <o:FieldCodes>\s</o:FieldCodes>
          </o:OLEObject>
        </w:object>
      </w:r>
    </w:p>
    <w:sectPr w:rsidRPr="00D20EE5" w:rsidR="00D20EE5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133D" w:rsidP="003F0B5F" w:rsidRDefault="008D133D" w14:paraId="3E4CDE59" w14:textId="77777777">
      <w:r>
        <w:separator/>
      </w:r>
    </w:p>
  </w:endnote>
  <w:endnote w:type="continuationSeparator" w:id="0">
    <w:p w:rsidR="008D133D" w:rsidP="003F0B5F" w:rsidRDefault="008D133D" w14:paraId="1FD24BDF" w14:textId="77777777">
      <w:r>
        <w:continuationSeparator/>
      </w:r>
    </w:p>
  </w:endnote>
  <w:endnote w:type="continuationNotice" w:id="1">
    <w:p w:rsidR="008D133D" w:rsidRDefault="008D133D" w14:paraId="063211B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3658965"/>
      <w:docPartObj>
        <w:docPartGallery w:val="Page Numbers (Bottom of Page)"/>
        <w:docPartUnique/>
      </w:docPartObj>
    </w:sdtPr>
    <w:sdtContent>
      <w:p w:rsidR="005567B7" w:rsidRDefault="005567B7" w14:paraId="45770B80" w14:textId="580C616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567B7" w:rsidRDefault="005567B7" w14:paraId="30DB9FF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133D" w:rsidP="003F0B5F" w:rsidRDefault="008D133D" w14:paraId="369616DC" w14:textId="77777777">
      <w:r>
        <w:separator/>
      </w:r>
    </w:p>
  </w:footnote>
  <w:footnote w:type="continuationSeparator" w:id="0">
    <w:p w:rsidR="008D133D" w:rsidP="003F0B5F" w:rsidRDefault="008D133D" w14:paraId="581329BD" w14:textId="77777777">
      <w:r>
        <w:continuationSeparator/>
      </w:r>
    </w:p>
  </w:footnote>
  <w:footnote w:type="continuationNotice" w:id="1">
    <w:p w:rsidR="008D133D" w:rsidRDefault="008D133D" w14:paraId="7D1A7D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F670C" w:rsidRDefault="00CF670C" w14:paraId="67C34AA2" w14:textId="566D1734">
    <w:pPr>
      <w:pStyle w:val="Header"/>
    </w:pPr>
    <w:r>
      <w:rPr>
        <w:rFonts w:ascii="Arial" w:hAnsi="Arial" w:cs="Arial"/>
        <w:noProof/>
      </w:rPr>
      <w:drawing>
        <wp:inline distT="0" distB="0" distL="0" distR="0" wp14:anchorId="322004FA" wp14:editId="116BB18E">
          <wp:extent cx="2141149" cy="889401"/>
          <wp:effectExtent l="0" t="0" r="0" b="6350"/>
          <wp:docPr id="1" name="Picture 1" descr="Gwent P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went PSB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508" cy="90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57BD"/>
    <w:multiLevelType w:val="hybridMultilevel"/>
    <w:tmpl w:val="79FADE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767C72"/>
    <w:multiLevelType w:val="hybridMultilevel"/>
    <w:tmpl w:val="2AD6BD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BF327C"/>
    <w:multiLevelType w:val="hybridMultilevel"/>
    <w:tmpl w:val="D9E83A7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677AE"/>
    <w:multiLevelType w:val="hybridMultilevel"/>
    <w:tmpl w:val="88E642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960828"/>
    <w:multiLevelType w:val="hybridMultilevel"/>
    <w:tmpl w:val="BC7204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B058D3"/>
    <w:multiLevelType w:val="hybridMultilevel"/>
    <w:tmpl w:val="31002A46"/>
    <w:lvl w:ilvl="0" w:tplc="7E0C2EDC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797D4D"/>
    <w:multiLevelType w:val="hybridMultilevel"/>
    <w:tmpl w:val="E654DD36"/>
    <w:lvl w:ilvl="0" w:tplc="B24CBCC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5A702A"/>
    <w:multiLevelType w:val="hybridMultilevel"/>
    <w:tmpl w:val="A7201E3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B2969"/>
    <w:multiLevelType w:val="hybridMultilevel"/>
    <w:tmpl w:val="B944EC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02522E">
      <w:numFmt w:val="bullet"/>
      <w:lvlText w:val="•"/>
      <w:lvlJc w:val="left"/>
      <w:pPr>
        <w:ind w:left="1800" w:hanging="720"/>
      </w:pPr>
      <w:rPr>
        <w:rFonts w:hint="default" w:ascii="Arial" w:hAnsi="Arial" w:eastAsia="Times New Roman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AC021F"/>
    <w:multiLevelType w:val="hybridMultilevel"/>
    <w:tmpl w:val="2BFA9600"/>
    <w:lvl w:ilvl="0" w:tplc="28ACD6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6E33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E445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D0FF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121A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26D2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6474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DCD6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C4F1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6F455F"/>
    <w:multiLevelType w:val="hybridMultilevel"/>
    <w:tmpl w:val="0874CD6A"/>
    <w:lvl w:ilvl="0" w:tplc="CCFA0F7A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BE0401"/>
    <w:multiLevelType w:val="hybridMultilevel"/>
    <w:tmpl w:val="8D0A29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CD7F06"/>
    <w:multiLevelType w:val="hybridMultilevel"/>
    <w:tmpl w:val="2D98A768"/>
    <w:lvl w:ilvl="0" w:tplc="5392955A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51808"/>
    <w:multiLevelType w:val="hybridMultilevel"/>
    <w:tmpl w:val="336E9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71F36"/>
    <w:multiLevelType w:val="hybridMultilevel"/>
    <w:tmpl w:val="080AB7C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5406EAF"/>
    <w:multiLevelType w:val="hybridMultilevel"/>
    <w:tmpl w:val="CC544608"/>
    <w:lvl w:ilvl="0" w:tplc="E6608FA8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BA13072"/>
    <w:multiLevelType w:val="hybridMultilevel"/>
    <w:tmpl w:val="6A0EFF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1C3DEC"/>
    <w:multiLevelType w:val="hybridMultilevel"/>
    <w:tmpl w:val="B1A6DCE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FAF2E8F"/>
    <w:multiLevelType w:val="hybridMultilevel"/>
    <w:tmpl w:val="6D249D7E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01F8"/>
    <w:multiLevelType w:val="hybridMultilevel"/>
    <w:tmpl w:val="FFFFFFFF"/>
    <w:lvl w:ilvl="0" w:tplc="8740441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40094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0EC4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C297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1A21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006D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F296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30CD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B83E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FB4C8D"/>
    <w:multiLevelType w:val="hybridMultilevel"/>
    <w:tmpl w:val="115440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6BD3F42"/>
    <w:multiLevelType w:val="hybridMultilevel"/>
    <w:tmpl w:val="91B413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22" w15:restartNumberingAfterBreak="0">
    <w:nsid w:val="69221B5B"/>
    <w:multiLevelType w:val="hybridMultilevel"/>
    <w:tmpl w:val="CFAECEC6"/>
    <w:lvl w:ilvl="0" w:tplc="303CBE52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9D7835"/>
    <w:multiLevelType w:val="hybridMultilevel"/>
    <w:tmpl w:val="93301E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8726F2C"/>
    <w:multiLevelType w:val="hybridMultilevel"/>
    <w:tmpl w:val="BC9A01F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0503678">
    <w:abstractNumId w:val="9"/>
  </w:num>
  <w:num w:numId="2" w16cid:durableId="1880511937">
    <w:abstractNumId w:val="3"/>
  </w:num>
  <w:num w:numId="3" w16cid:durableId="1316883465">
    <w:abstractNumId w:val="13"/>
  </w:num>
  <w:num w:numId="4" w16cid:durableId="1204274">
    <w:abstractNumId w:val="21"/>
  </w:num>
  <w:num w:numId="5" w16cid:durableId="12996109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3202796">
    <w:abstractNumId w:val="1"/>
  </w:num>
  <w:num w:numId="7" w16cid:durableId="1237327051">
    <w:abstractNumId w:val="16"/>
  </w:num>
  <w:num w:numId="8" w16cid:durableId="1049836502">
    <w:abstractNumId w:val="4"/>
  </w:num>
  <w:num w:numId="9" w16cid:durableId="181893818">
    <w:abstractNumId w:val="8"/>
  </w:num>
  <w:num w:numId="10" w16cid:durableId="1826704567">
    <w:abstractNumId w:val="23"/>
  </w:num>
  <w:num w:numId="11" w16cid:durableId="608707701">
    <w:abstractNumId w:val="11"/>
  </w:num>
  <w:num w:numId="12" w16cid:durableId="514540417">
    <w:abstractNumId w:val="22"/>
  </w:num>
  <w:num w:numId="13" w16cid:durableId="1164856717">
    <w:abstractNumId w:val="0"/>
  </w:num>
  <w:num w:numId="14" w16cid:durableId="454718632">
    <w:abstractNumId w:val="10"/>
  </w:num>
  <w:num w:numId="15" w16cid:durableId="80681029">
    <w:abstractNumId w:val="19"/>
  </w:num>
  <w:num w:numId="16" w16cid:durableId="2064134312">
    <w:abstractNumId w:val="12"/>
  </w:num>
  <w:num w:numId="17" w16cid:durableId="889924757">
    <w:abstractNumId w:val="20"/>
  </w:num>
  <w:num w:numId="18" w16cid:durableId="1870028888">
    <w:abstractNumId w:val="15"/>
  </w:num>
  <w:num w:numId="19" w16cid:durableId="636107274">
    <w:abstractNumId w:val="17"/>
  </w:num>
  <w:num w:numId="20" w16cid:durableId="2053382369">
    <w:abstractNumId w:val="2"/>
  </w:num>
  <w:num w:numId="21" w16cid:durableId="645862606">
    <w:abstractNumId w:val="7"/>
  </w:num>
  <w:num w:numId="22" w16cid:durableId="1150176707">
    <w:abstractNumId w:val="14"/>
  </w:num>
  <w:num w:numId="23" w16cid:durableId="746222735">
    <w:abstractNumId w:val="6"/>
  </w:num>
  <w:num w:numId="24" w16cid:durableId="1101877895">
    <w:abstractNumId w:val="5"/>
  </w:num>
  <w:num w:numId="25" w16cid:durableId="1164204113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8D"/>
    <w:rsid w:val="0000366E"/>
    <w:rsid w:val="000077F2"/>
    <w:rsid w:val="00014912"/>
    <w:rsid w:val="000363CF"/>
    <w:rsid w:val="0004162E"/>
    <w:rsid w:val="000437BB"/>
    <w:rsid w:val="000545DB"/>
    <w:rsid w:val="000576F6"/>
    <w:rsid w:val="00062203"/>
    <w:rsid w:val="0007738D"/>
    <w:rsid w:val="00085105"/>
    <w:rsid w:val="0008733D"/>
    <w:rsid w:val="00093546"/>
    <w:rsid w:val="000A2353"/>
    <w:rsid w:val="000B68F6"/>
    <w:rsid w:val="000D51DD"/>
    <w:rsid w:val="000E66EE"/>
    <w:rsid w:val="000F75D9"/>
    <w:rsid w:val="0010073D"/>
    <w:rsid w:val="00104D28"/>
    <w:rsid w:val="00110E0D"/>
    <w:rsid w:val="001173CC"/>
    <w:rsid w:val="0012248C"/>
    <w:rsid w:val="00123A3F"/>
    <w:rsid w:val="0013111F"/>
    <w:rsid w:val="00147444"/>
    <w:rsid w:val="001479EB"/>
    <w:rsid w:val="00164477"/>
    <w:rsid w:val="00167A84"/>
    <w:rsid w:val="0019461A"/>
    <w:rsid w:val="001A588D"/>
    <w:rsid w:val="001A75CE"/>
    <w:rsid w:val="001C0EAD"/>
    <w:rsid w:val="001C34F9"/>
    <w:rsid w:val="001C6B43"/>
    <w:rsid w:val="001D2310"/>
    <w:rsid w:val="001D6DB0"/>
    <w:rsid w:val="001D7A78"/>
    <w:rsid w:val="001E495A"/>
    <w:rsid w:val="001EE949"/>
    <w:rsid w:val="001F329A"/>
    <w:rsid w:val="00205E07"/>
    <w:rsid w:val="00211289"/>
    <w:rsid w:val="00212AC9"/>
    <w:rsid w:val="00225679"/>
    <w:rsid w:val="00230A2D"/>
    <w:rsid w:val="00240B06"/>
    <w:rsid w:val="0024588C"/>
    <w:rsid w:val="0025175A"/>
    <w:rsid w:val="00273BD5"/>
    <w:rsid w:val="00291B6C"/>
    <w:rsid w:val="002A0AFD"/>
    <w:rsid w:val="002F5DFD"/>
    <w:rsid w:val="003020F1"/>
    <w:rsid w:val="00315EF4"/>
    <w:rsid w:val="00317EEE"/>
    <w:rsid w:val="003703B4"/>
    <w:rsid w:val="00372584"/>
    <w:rsid w:val="0038003D"/>
    <w:rsid w:val="00393692"/>
    <w:rsid w:val="003A09D0"/>
    <w:rsid w:val="003A5AD8"/>
    <w:rsid w:val="003A5D30"/>
    <w:rsid w:val="003B702E"/>
    <w:rsid w:val="003D846A"/>
    <w:rsid w:val="003F0B5F"/>
    <w:rsid w:val="00417C71"/>
    <w:rsid w:val="00417D89"/>
    <w:rsid w:val="0042284D"/>
    <w:rsid w:val="0043054B"/>
    <w:rsid w:val="00430B04"/>
    <w:rsid w:val="00430BAB"/>
    <w:rsid w:val="00435969"/>
    <w:rsid w:val="004426E7"/>
    <w:rsid w:val="00447271"/>
    <w:rsid w:val="0045008C"/>
    <w:rsid w:val="0045777C"/>
    <w:rsid w:val="00492FDF"/>
    <w:rsid w:val="004A09C2"/>
    <w:rsid w:val="004A6172"/>
    <w:rsid w:val="004B0A9A"/>
    <w:rsid w:val="004B5363"/>
    <w:rsid w:val="004C71C3"/>
    <w:rsid w:val="004D6653"/>
    <w:rsid w:val="004F716F"/>
    <w:rsid w:val="005008D7"/>
    <w:rsid w:val="00507947"/>
    <w:rsid w:val="00512F25"/>
    <w:rsid w:val="00526927"/>
    <w:rsid w:val="005512E2"/>
    <w:rsid w:val="00553BC6"/>
    <w:rsid w:val="005567B7"/>
    <w:rsid w:val="0055791C"/>
    <w:rsid w:val="00597D4C"/>
    <w:rsid w:val="005D04A7"/>
    <w:rsid w:val="005E7450"/>
    <w:rsid w:val="00602531"/>
    <w:rsid w:val="00612550"/>
    <w:rsid w:val="00615152"/>
    <w:rsid w:val="0061718B"/>
    <w:rsid w:val="00623E84"/>
    <w:rsid w:val="00641F88"/>
    <w:rsid w:val="00651E4D"/>
    <w:rsid w:val="00653932"/>
    <w:rsid w:val="0065499C"/>
    <w:rsid w:val="00664EF3"/>
    <w:rsid w:val="00673755"/>
    <w:rsid w:val="00676E98"/>
    <w:rsid w:val="006906D2"/>
    <w:rsid w:val="006946C7"/>
    <w:rsid w:val="006A1D37"/>
    <w:rsid w:val="006B4DBE"/>
    <w:rsid w:val="006C5305"/>
    <w:rsid w:val="006D4965"/>
    <w:rsid w:val="006D7258"/>
    <w:rsid w:val="006E0646"/>
    <w:rsid w:val="00701099"/>
    <w:rsid w:val="00710556"/>
    <w:rsid w:val="00721529"/>
    <w:rsid w:val="00734609"/>
    <w:rsid w:val="00743420"/>
    <w:rsid w:val="00747FD0"/>
    <w:rsid w:val="007657A5"/>
    <w:rsid w:val="007666FA"/>
    <w:rsid w:val="007710DC"/>
    <w:rsid w:val="00785C3D"/>
    <w:rsid w:val="00791A18"/>
    <w:rsid w:val="0079227C"/>
    <w:rsid w:val="007A6EF2"/>
    <w:rsid w:val="007C0CA4"/>
    <w:rsid w:val="007D2363"/>
    <w:rsid w:val="007D4909"/>
    <w:rsid w:val="007E7DE1"/>
    <w:rsid w:val="007F754F"/>
    <w:rsid w:val="00800B7E"/>
    <w:rsid w:val="00812B91"/>
    <w:rsid w:val="00815FE6"/>
    <w:rsid w:val="008233E3"/>
    <w:rsid w:val="008362DF"/>
    <w:rsid w:val="00842C09"/>
    <w:rsid w:val="00866B8E"/>
    <w:rsid w:val="00867993"/>
    <w:rsid w:val="00886F62"/>
    <w:rsid w:val="008A72CC"/>
    <w:rsid w:val="008C1A94"/>
    <w:rsid w:val="008C3009"/>
    <w:rsid w:val="008C734D"/>
    <w:rsid w:val="008D133D"/>
    <w:rsid w:val="008D70B9"/>
    <w:rsid w:val="008E0AA8"/>
    <w:rsid w:val="008F010B"/>
    <w:rsid w:val="008F6BB1"/>
    <w:rsid w:val="00901F34"/>
    <w:rsid w:val="00910861"/>
    <w:rsid w:val="009168E1"/>
    <w:rsid w:val="00917F67"/>
    <w:rsid w:val="0092208D"/>
    <w:rsid w:val="00922CC1"/>
    <w:rsid w:val="009310CA"/>
    <w:rsid w:val="00935187"/>
    <w:rsid w:val="00952681"/>
    <w:rsid w:val="00957E14"/>
    <w:rsid w:val="009636D4"/>
    <w:rsid w:val="00965544"/>
    <w:rsid w:val="009763CD"/>
    <w:rsid w:val="00977062"/>
    <w:rsid w:val="00987C5C"/>
    <w:rsid w:val="00990993"/>
    <w:rsid w:val="00992139"/>
    <w:rsid w:val="00992597"/>
    <w:rsid w:val="0099623A"/>
    <w:rsid w:val="009A0A31"/>
    <w:rsid w:val="009B3435"/>
    <w:rsid w:val="009C120E"/>
    <w:rsid w:val="009C4909"/>
    <w:rsid w:val="009D4D10"/>
    <w:rsid w:val="00A0184F"/>
    <w:rsid w:val="00A154D7"/>
    <w:rsid w:val="00A31D23"/>
    <w:rsid w:val="00A3245F"/>
    <w:rsid w:val="00A36744"/>
    <w:rsid w:val="00A6251F"/>
    <w:rsid w:val="00A64FE7"/>
    <w:rsid w:val="00A7077C"/>
    <w:rsid w:val="00A8310A"/>
    <w:rsid w:val="00A97C70"/>
    <w:rsid w:val="00AB77C6"/>
    <w:rsid w:val="00AC7277"/>
    <w:rsid w:val="00AC7B16"/>
    <w:rsid w:val="00AE3B09"/>
    <w:rsid w:val="00AF35DD"/>
    <w:rsid w:val="00B03156"/>
    <w:rsid w:val="00B23AA0"/>
    <w:rsid w:val="00B24B1F"/>
    <w:rsid w:val="00B26913"/>
    <w:rsid w:val="00B27A50"/>
    <w:rsid w:val="00B321BD"/>
    <w:rsid w:val="00B36045"/>
    <w:rsid w:val="00B43397"/>
    <w:rsid w:val="00B61E1A"/>
    <w:rsid w:val="00B70474"/>
    <w:rsid w:val="00B773AA"/>
    <w:rsid w:val="00B85108"/>
    <w:rsid w:val="00B92A78"/>
    <w:rsid w:val="00BB49D6"/>
    <w:rsid w:val="00BC1509"/>
    <w:rsid w:val="00BC18F8"/>
    <w:rsid w:val="00BC3F5C"/>
    <w:rsid w:val="00BC5EEA"/>
    <w:rsid w:val="00BE3AE6"/>
    <w:rsid w:val="00BF34A5"/>
    <w:rsid w:val="00BF4FC3"/>
    <w:rsid w:val="00BF7EC6"/>
    <w:rsid w:val="00C01875"/>
    <w:rsid w:val="00C138F1"/>
    <w:rsid w:val="00C16A1E"/>
    <w:rsid w:val="00C425B9"/>
    <w:rsid w:val="00C60DFD"/>
    <w:rsid w:val="00C614FE"/>
    <w:rsid w:val="00C66E27"/>
    <w:rsid w:val="00C71635"/>
    <w:rsid w:val="00C9309F"/>
    <w:rsid w:val="00C94F20"/>
    <w:rsid w:val="00CD01AF"/>
    <w:rsid w:val="00CD68DC"/>
    <w:rsid w:val="00CD7313"/>
    <w:rsid w:val="00CE4BCF"/>
    <w:rsid w:val="00CF670C"/>
    <w:rsid w:val="00CF7706"/>
    <w:rsid w:val="00D02245"/>
    <w:rsid w:val="00D02AA5"/>
    <w:rsid w:val="00D20EE5"/>
    <w:rsid w:val="00D32B50"/>
    <w:rsid w:val="00D36E62"/>
    <w:rsid w:val="00D3F8BD"/>
    <w:rsid w:val="00D43AA9"/>
    <w:rsid w:val="00D47D7B"/>
    <w:rsid w:val="00D47FE0"/>
    <w:rsid w:val="00D50EE6"/>
    <w:rsid w:val="00D62F1D"/>
    <w:rsid w:val="00D86A35"/>
    <w:rsid w:val="00D8726D"/>
    <w:rsid w:val="00D87CC5"/>
    <w:rsid w:val="00D976ED"/>
    <w:rsid w:val="00DA4FE7"/>
    <w:rsid w:val="00DA5343"/>
    <w:rsid w:val="00DA7EC9"/>
    <w:rsid w:val="00DB0D2B"/>
    <w:rsid w:val="00DC7040"/>
    <w:rsid w:val="00DD6D53"/>
    <w:rsid w:val="00DD6F3C"/>
    <w:rsid w:val="00DE4A49"/>
    <w:rsid w:val="00DF8D56"/>
    <w:rsid w:val="00E03029"/>
    <w:rsid w:val="00E13AC4"/>
    <w:rsid w:val="00E41F90"/>
    <w:rsid w:val="00E4302D"/>
    <w:rsid w:val="00E4574A"/>
    <w:rsid w:val="00E74852"/>
    <w:rsid w:val="00E7574D"/>
    <w:rsid w:val="00E82671"/>
    <w:rsid w:val="00E92489"/>
    <w:rsid w:val="00E9298B"/>
    <w:rsid w:val="00E93A51"/>
    <w:rsid w:val="00E9609F"/>
    <w:rsid w:val="00EA4E7A"/>
    <w:rsid w:val="00EB33D5"/>
    <w:rsid w:val="00EC06F8"/>
    <w:rsid w:val="00EC5209"/>
    <w:rsid w:val="00EE69E7"/>
    <w:rsid w:val="00F06DD5"/>
    <w:rsid w:val="00F11FAE"/>
    <w:rsid w:val="00F16677"/>
    <w:rsid w:val="00F17886"/>
    <w:rsid w:val="00F21A45"/>
    <w:rsid w:val="00F3340C"/>
    <w:rsid w:val="00F570B6"/>
    <w:rsid w:val="00F60184"/>
    <w:rsid w:val="00F65866"/>
    <w:rsid w:val="00F6A277"/>
    <w:rsid w:val="00F76097"/>
    <w:rsid w:val="00F80ADD"/>
    <w:rsid w:val="00F948AD"/>
    <w:rsid w:val="00FB2957"/>
    <w:rsid w:val="00FB3A0F"/>
    <w:rsid w:val="00FC1797"/>
    <w:rsid w:val="00FC44CD"/>
    <w:rsid w:val="00FD070E"/>
    <w:rsid w:val="00FE7FB1"/>
    <w:rsid w:val="00FF6F4B"/>
    <w:rsid w:val="010024D9"/>
    <w:rsid w:val="016AC7E7"/>
    <w:rsid w:val="01C8C5B8"/>
    <w:rsid w:val="021E5898"/>
    <w:rsid w:val="0266B6A6"/>
    <w:rsid w:val="02D8F1A7"/>
    <w:rsid w:val="039AAC08"/>
    <w:rsid w:val="03C19F2B"/>
    <w:rsid w:val="03C3D399"/>
    <w:rsid w:val="03DA198F"/>
    <w:rsid w:val="03F72FB6"/>
    <w:rsid w:val="04A1FC5F"/>
    <w:rsid w:val="052967ED"/>
    <w:rsid w:val="0587BC99"/>
    <w:rsid w:val="064D2F9F"/>
    <w:rsid w:val="0683D19C"/>
    <w:rsid w:val="06A07781"/>
    <w:rsid w:val="06C698EA"/>
    <w:rsid w:val="07307551"/>
    <w:rsid w:val="07932308"/>
    <w:rsid w:val="07B4EC64"/>
    <w:rsid w:val="07C726ED"/>
    <w:rsid w:val="07E00125"/>
    <w:rsid w:val="08241749"/>
    <w:rsid w:val="0835483E"/>
    <w:rsid w:val="084BFE4C"/>
    <w:rsid w:val="085CE7FE"/>
    <w:rsid w:val="0867559F"/>
    <w:rsid w:val="087ECFCA"/>
    <w:rsid w:val="088820A1"/>
    <w:rsid w:val="08891009"/>
    <w:rsid w:val="088DD45B"/>
    <w:rsid w:val="08BA0330"/>
    <w:rsid w:val="08C28C92"/>
    <w:rsid w:val="090D21E4"/>
    <w:rsid w:val="09633855"/>
    <w:rsid w:val="09AAA264"/>
    <w:rsid w:val="0A1AA465"/>
    <w:rsid w:val="0A99A43B"/>
    <w:rsid w:val="0B3DF7DC"/>
    <w:rsid w:val="0B4753D7"/>
    <w:rsid w:val="0C424980"/>
    <w:rsid w:val="0C6AB896"/>
    <w:rsid w:val="0C9ABC5D"/>
    <w:rsid w:val="0CDE4892"/>
    <w:rsid w:val="0D3F3477"/>
    <w:rsid w:val="0D84B3FA"/>
    <w:rsid w:val="0E61A0FD"/>
    <w:rsid w:val="0E7DDF48"/>
    <w:rsid w:val="0E9CFCDF"/>
    <w:rsid w:val="0F12FAEE"/>
    <w:rsid w:val="0F1E198C"/>
    <w:rsid w:val="0F3C9311"/>
    <w:rsid w:val="0FC9DF20"/>
    <w:rsid w:val="106D6720"/>
    <w:rsid w:val="108A86A6"/>
    <w:rsid w:val="10A1FB03"/>
    <w:rsid w:val="10AFFAAF"/>
    <w:rsid w:val="1118F3C9"/>
    <w:rsid w:val="11625903"/>
    <w:rsid w:val="1175E886"/>
    <w:rsid w:val="11E6D708"/>
    <w:rsid w:val="121E5415"/>
    <w:rsid w:val="1223DDF8"/>
    <w:rsid w:val="126BCB93"/>
    <w:rsid w:val="12C08166"/>
    <w:rsid w:val="13274A0D"/>
    <w:rsid w:val="13681076"/>
    <w:rsid w:val="13D08702"/>
    <w:rsid w:val="13D8E4FA"/>
    <w:rsid w:val="1405EF67"/>
    <w:rsid w:val="14645352"/>
    <w:rsid w:val="14B91673"/>
    <w:rsid w:val="14E150BB"/>
    <w:rsid w:val="15007DCE"/>
    <w:rsid w:val="15240675"/>
    <w:rsid w:val="15848411"/>
    <w:rsid w:val="158CA36D"/>
    <w:rsid w:val="15E708CC"/>
    <w:rsid w:val="1673D637"/>
    <w:rsid w:val="1681412B"/>
    <w:rsid w:val="171CA92A"/>
    <w:rsid w:val="17227B55"/>
    <w:rsid w:val="1741CFC0"/>
    <w:rsid w:val="17584CC8"/>
    <w:rsid w:val="17A41474"/>
    <w:rsid w:val="188CA167"/>
    <w:rsid w:val="18C4442F"/>
    <w:rsid w:val="18DB9E6B"/>
    <w:rsid w:val="1928C59C"/>
    <w:rsid w:val="1969E4EC"/>
    <w:rsid w:val="19F27624"/>
    <w:rsid w:val="1A048F22"/>
    <w:rsid w:val="1A18408F"/>
    <w:rsid w:val="1A51C7E2"/>
    <w:rsid w:val="1A64B1E3"/>
    <w:rsid w:val="1A8CACE4"/>
    <w:rsid w:val="1AB57466"/>
    <w:rsid w:val="1B0C7908"/>
    <w:rsid w:val="1B30E72B"/>
    <w:rsid w:val="1B94D422"/>
    <w:rsid w:val="1BFB85D1"/>
    <w:rsid w:val="1C008244"/>
    <w:rsid w:val="1C023FED"/>
    <w:rsid w:val="1C026BFA"/>
    <w:rsid w:val="1C187D02"/>
    <w:rsid w:val="1C22AA84"/>
    <w:rsid w:val="1C5F5C56"/>
    <w:rsid w:val="1CAB2BAB"/>
    <w:rsid w:val="1CF5B0FB"/>
    <w:rsid w:val="1D55C88C"/>
    <w:rsid w:val="1DF917C5"/>
    <w:rsid w:val="1E732094"/>
    <w:rsid w:val="1ECC74E4"/>
    <w:rsid w:val="1FCCA403"/>
    <w:rsid w:val="1FD721C5"/>
    <w:rsid w:val="209D23F0"/>
    <w:rsid w:val="20E947A6"/>
    <w:rsid w:val="211DAFB3"/>
    <w:rsid w:val="21C1B28A"/>
    <w:rsid w:val="226C3FC0"/>
    <w:rsid w:val="227F1061"/>
    <w:rsid w:val="235C475F"/>
    <w:rsid w:val="2381A944"/>
    <w:rsid w:val="2471D294"/>
    <w:rsid w:val="249B500E"/>
    <w:rsid w:val="252A30A9"/>
    <w:rsid w:val="2563FA60"/>
    <w:rsid w:val="256CA168"/>
    <w:rsid w:val="25D6B6EF"/>
    <w:rsid w:val="261219EA"/>
    <w:rsid w:val="264C7E4E"/>
    <w:rsid w:val="26AE4C0A"/>
    <w:rsid w:val="26B2B158"/>
    <w:rsid w:val="27026718"/>
    <w:rsid w:val="27800022"/>
    <w:rsid w:val="27A15318"/>
    <w:rsid w:val="27AC8DBF"/>
    <w:rsid w:val="27BAC984"/>
    <w:rsid w:val="284CC909"/>
    <w:rsid w:val="28E75779"/>
    <w:rsid w:val="2906A9EC"/>
    <w:rsid w:val="2918E79B"/>
    <w:rsid w:val="297948FC"/>
    <w:rsid w:val="29CCC46F"/>
    <w:rsid w:val="29E21253"/>
    <w:rsid w:val="2A39F9FE"/>
    <w:rsid w:val="2A92DECD"/>
    <w:rsid w:val="2AA95CFA"/>
    <w:rsid w:val="2B014B74"/>
    <w:rsid w:val="2B81BD2D"/>
    <w:rsid w:val="2BABCC2E"/>
    <w:rsid w:val="2BBAE511"/>
    <w:rsid w:val="2BCD045D"/>
    <w:rsid w:val="2BF8DEC9"/>
    <w:rsid w:val="2CEBF69E"/>
    <w:rsid w:val="2D479C8F"/>
    <w:rsid w:val="2D58220C"/>
    <w:rsid w:val="2DC01A3A"/>
    <w:rsid w:val="2E1EA98A"/>
    <w:rsid w:val="2E50D0EA"/>
    <w:rsid w:val="2E716235"/>
    <w:rsid w:val="2E90BE59"/>
    <w:rsid w:val="2E979C93"/>
    <w:rsid w:val="2EBB4034"/>
    <w:rsid w:val="2F39A6C3"/>
    <w:rsid w:val="2FEAC710"/>
    <w:rsid w:val="300F493C"/>
    <w:rsid w:val="301C24B7"/>
    <w:rsid w:val="303B0CFB"/>
    <w:rsid w:val="30552E50"/>
    <w:rsid w:val="308FC2CE"/>
    <w:rsid w:val="309C9C3F"/>
    <w:rsid w:val="30CB4DD8"/>
    <w:rsid w:val="30F3EB00"/>
    <w:rsid w:val="3108FB85"/>
    <w:rsid w:val="313FBDC2"/>
    <w:rsid w:val="3148F143"/>
    <w:rsid w:val="31A02717"/>
    <w:rsid w:val="31DFC3DA"/>
    <w:rsid w:val="31F0FEB1"/>
    <w:rsid w:val="326983A3"/>
    <w:rsid w:val="3279D86A"/>
    <w:rsid w:val="327CD8E3"/>
    <w:rsid w:val="34AD39A6"/>
    <w:rsid w:val="35047EB1"/>
    <w:rsid w:val="35428F46"/>
    <w:rsid w:val="3546514B"/>
    <w:rsid w:val="3553700B"/>
    <w:rsid w:val="364BB196"/>
    <w:rsid w:val="36652DFA"/>
    <w:rsid w:val="36E2D119"/>
    <w:rsid w:val="36E417C4"/>
    <w:rsid w:val="37132B25"/>
    <w:rsid w:val="371C6248"/>
    <w:rsid w:val="3743808B"/>
    <w:rsid w:val="3748C53F"/>
    <w:rsid w:val="374DD423"/>
    <w:rsid w:val="37504A06"/>
    <w:rsid w:val="3759BFCA"/>
    <w:rsid w:val="376B62A5"/>
    <w:rsid w:val="37B24CE0"/>
    <w:rsid w:val="37E93646"/>
    <w:rsid w:val="37F778EE"/>
    <w:rsid w:val="38162D9B"/>
    <w:rsid w:val="3833F34B"/>
    <w:rsid w:val="3862DF3F"/>
    <w:rsid w:val="38ACCC30"/>
    <w:rsid w:val="395E6BFC"/>
    <w:rsid w:val="3964158A"/>
    <w:rsid w:val="39FD80C6"/>
    <w:rsid w:val="3AFFE5EB"/>
    <w:rsid w:val="3B174419"/>
    <w:rsid w:val="3B3623FE"/>
    <w:rsid w:val="3B806983"/>
    <w:rsid w:val="3BA8C6C0"/>
    <w:rsid w:val="3BC53F04"/>
    <w:rsid w:val="3BF6A5A4"/>
    <w:rsid w:val="3C9D6D32"/>
    <w:rsid w:val="3D227681"/>
    <w:rsid w:val="3D3B71B9"/>
    <w:rsid w:val="3D490309"/>
    <w:rsid w:val="3D55C7A5"/>
    <w:rsid w:val="3DA33E62"/>
    <w:rsid w:val="3DAEB60D"/>
    <w:rsid w:val="3DD63E04"/>
    <w:rsid w:val="3DD6989C"/>
    <w:rsid w:val="3E5E0C0A"/>
    <w:rsid w:val="3E91910D"/>
    <w:rsid w:val="3F017E40"/>
    <w:rsid w:val="3FBA5394"/>
    <w:rsid w:val="400AB29B"/>
    <w:rsid w:val="400B0185"/>
    <w:rsid w:val="4052204B"/>
    <w:rsid w:val="4179464D"/>
    <w:rsid w:val="417E01F2"/>
    <w:rsid w:val="419651C3"/>
    <w:rsid w:val="41A0F96F"/>
    <w:rsid w:val="41A682FC"/>
    <w:rsid w:val="41C9D95C"/>
    <w:rsid w:val="42197B70"/>
    <w:rsid w:val="42419C7B"/>
    <w:rsid w:val="4274C7A5"/>
    <w:rsid w:val="434081BE"/>
    <w:rsid w:val="437539F5"/>
    <w:rsid w:val="4381A921"/>
    <w:rsid w:val="44AA04EB"/>
    <w:rsid w:val="45110A56"/>
    <w:rsid w:val="451C4A22"/>
    <w:rsid w:val="455DBE85"/>
    <w:rsid w:val="4561ECE7"/>
    <w:rsid w:val="4566E537"/>
    <w:rsid w:val="457A70C1"/>
    <w:rsid w:val="45A0265C"/>
    <w:rsid w:val="46254971"/>
    <w:rsid w:val="462FDBF9"/>
    <w:rsid w:val="4652373B"/>
    <w:rsid w:val="46644DCB"/>
    <w:rsid w:val="4679ACD1"/>
    <w:rsid w:val="46A366FF"/>
    <w:rsid w:val="46CEC1B8"/>
    <w:rsid w:val="46E1985D"/>
    <w:rsid w:val="47623280"/>
    <w:rsid w:val="479E859F"/>
    <w:rsid w:val="47B52E34"/>
    <w:rsid w:val="47B94823"/>
    <w:rsid w:val="4853EE51"/>
    <w:rsid w:val="48B275EC"/>
    <w:rsid w:val="48CFC0C2"/>
    <w:rsid w:val="48FACFB1"/>
    <w:rsid w:val="495B51B7"/>
    <w:rsid w:val="49F23912"/>
    <w:rsid w:val="4A129DF6"/>
    <w:rsid w:val="4A849810"/>
    <w:rsid w:val="4AE2C985"/>
    <w:rsid w:val="4B4B93A3"/>
    <w:rsid w:val="4B64BC00"/>
    <w:rsid w:val="4B67D3AB"/>
    <w:rsid w:val="4B89A55D"/>
    <w:rsid w:val="4B8B8F13"/>
    <w:rsid w:val="4B912D41"/>
    <w:rsid w:val="4BA09C2B"/>
    <w:rsid w:val="4BC4DEB7"/>
    <w:rsid w:val="4BF83F61"/>
    <w:rsid w:val="4C0830BE"/>
    <w:rsid w:val="4C28D003"/>
    <w:rsid w:val="4C776480"/>
    <w:rsid w:val="4D2BD9ED"/>
    <w:rsid w:val="4DC2FEBD"/>
    <w:rsid w:val="4DD7EEE3"/>
    <w:rsid w:val="4E1334E1"/>
    <w:rsid w:val="4E149E19"/>
    <w:rsid w:val="4E2D248A"/>
    <w:rsid w:val="4E7D8640"/>
    <w:rsid w:val="4E833465"/>
    <w:rsid w:val="4ED08AA4"/>
    <w:rsid w:val="4EDBA27E"/>
    <w:rsid w:val="4EF02A5A"/>
    <w:rsid w:val="4EF411E9"/>
    <w:rsid w:val="4F3A9BB4"/>
    <w:rsid w:val="4F5DC08D"/>
    <w:rsid w:val="4F8B9999"/>
    <w:rsid w:val="4FDD09DE"/>
    <w:rsid w:val="5175B397"/>
    <w:rsid w:val="518D27FD"/>
    <w:rsid w:val="51BAD527"/>
    <w:rsid w:val="5207D123"/>
    <w:rsid w:val="52261E8C"/>
    <w:rsid w:val="52B03C0D"/>
    <w:rsid w:val="52E22B9A"/>
    <w:rsid w:val="52E683C9"/>
    <w:rsid w:val="537CBDFB"/>
    <w:rsid w:val="538E2CAD"/>
    <w:rsid w:val="53E35F47"/>
    <w:rsid w:val="5422E084"/>
    <w:rsid w:val="544A687B"/>
    <w:rsid w:val="546B7F92"/>
    <w:rsid w:val="54E4C33E"/>
    <w:rsid w:val="55066311"/>
    <w:rsid w:val="551C878E"/>
    <w:rsid w:val="55201AF9"/>
    <w:rsid w:val="5534C840"/>
    <w:rsid w:val="553787C1"/>
    <w:rsid w:val="559E81F1"/>
    <w:rsid w:val="55B970B6"/>
    <w:rsid w:val="55BEB0E5"/>
    <w:rsid w:val="55E638DC"/>
    <w:rsid w:val="56617E24"/>
    <w:rsid w:val="56A1E3C1"/>
    <w:rsid w:val="56A423FA"/>
    <w:rsid w:val="56A51137"/>
    <w:rsid w:val="56B32F60"/>
    <w:rsid w:val="57388AAB"/>
    <w:rsid w:val="5742239A"/>
    <w:rsid w:val="58208C48"/>
    <w:rsid w:val="5895E784"/>
    <w:rsid w:val="58C305F0"/>
    <w:rsid w:val="58F38F2B"/>
    <w:rsid w:val="58F65265"/>
    <w:rsid w:val="58FB023C"/>
    <w:rsid w:val="5914B584"/>
    <w:rsid w:val="5946701C"/>
    <w:rsid w:val="5955E788"/>
    <w:rsid w:val="59BD61AA"/>
    <w:rsid w:val="59D4C789"/>
    <w:rsid w:val="5A38D44B"/>
    <w:rsid w:val="5A79DE0F"/>
    <w:rsid w:val="5B21EE08"/>
    <w:rsid w:val="5B8E7ECD"/>
    <w:rsid w:val="5BB33964"/>
    <w:rsid w:val="5C1EC84E"/>
    <w:rsid w:val="5C3DFCDE"/>
    <w:rsid w:val="5C780B2D"/>
    <w:rsid w:val="5C7AC7A5"/>
    <w:rsid w:val="5CFA8B08"/>
    <w:rsid w:val="5D151ECD"/>
    <w:rsid w:val="5DB09868"/>
    <w:rsid w:val="5DBD4F23"/>
    <w:rsid w:val="5DFC6DE3"/>
    <w:rsid w:val="5E3C05B7"/>
    <w:rsid w:val="5E57504A"/>
    <w:rsid w:val="5E761838"/>
    <w:rsid w:val="5ECE23A4"/>
    <w:rsid w:val="5F152E18"/>
    <w:rsid w:val="5F3CBDD9"/>
    <w:rsid w:val="5F8D4BD4"/>
    <w:rsid w:val="5FA547D0"/>
    <w:rsid w:val="5FAC00AF"/>
    <w:rsid w:val="60135176"/>
    <w:rsid w:val="60158E1F"/>
    <w:rsid w:val="6019363E"/>
    <w:rsid w:val="609042A6"/>
    <w:rsid w:val="60B5F609"/>
    <w:rsid w:val="60D4E8A3"/>
    <w:rsid w:val="61046F3F"/>
    <w:rsid w:val="61076A61"/>
    <w:rsid w:val="61B5069F"/>
    <w:rsid w:val="61F2F376"/>
    <w:rsid w:val="623B9403"/>
    <w:rsid w:val="624EBEE2"/>
    <w:rsid w:val="62772598"/>
    <w:rsid w:val="62A0FB58"/>
    <w:rsid w:val="62FA61D9"/>
    <w:rsid w:val="62FCC9CE"/>
    <w:rsid w:val="632EC655"/>
    <w:rsid w:val="63380738"/>
    <w:rsid w:val="641F36FA"/>
    <w:rsid w:val="6461E3D6"/>
    <w:rsid w:val="64B3F23E"/>
    <w:rsid w:val="64C5300D"/>
    <w:rsid w:val="654E36EA"/>
    <w:rsid w:val="65BCB636"/>
    <w:rsid w:val="661049CE"/>
    <w:rsid w:val="661A493B"/>
    <w:rsid w:val="66232C4C"/>
    <w:rsid w:val="66232FB9"/>
    <w:rsid w:val="664F031D"/>
    <w:rsid w:val="67577CB3"/>
    <w:rsid w:val="6757A3DE"/>
    <w:rsid w:val="679216EB"/>
    <w:rsid w:val="67D0996B"/>
    <w:rsid w:val="67EA7CC8"/>
    <w:rsid w:val="67F8C5ED"/>
    <w:rsid w:val="68439F0C"/>
    <w:rsid w:val="6858D7C4"/>
    <w:rsid w:val="6871DC34"/>
    <w:rsid w:val="68C3FDE4"/>
    <w:rsid w:val="69FCB023"/>
    <w:rsid w:val="6A236CC8"/>
    <w:rsid w:val="6A2400E1"/>
    <w:rsid w:val="6A26211C"/>
    <w:rsid w:val="6ACFAA00"/>
    <w:rsid w:val="6AEDBA5E"/>
    <w:rsid w:val="6B0D8367"/>
    <w:rsid w:val="6B77F03E"/>
    <w:rsid w:val="6BAA685F"/>
    <w:rsid w:val="6BC1A0E0"/>
    <w:rsid w:val="6C5275CD"/>
    <w:rsid w:val="6D3622C1"/>
    <w:rsid w:val="6D48F350"/>
    <w:rsid w:val="6D863430"/>
    <w:rsid w:val="6E34BCB0"/>
    <w:rsid w:val="6E50EEC0"/>
    <w:rsid w:val="6EB39E26"/>
    <w:rsid w:val="6EC510C8"/>
    <w:rsid w:val="6EEBFEEC"/>
    <w:rsid w:val="6EEC2ED9"/>
    <w:rsid w:val="6F0CFB9A"/>
    <w:rsid w:val="6F333F68"/>
    <w:rsid w:val="6F34AF12"/>
    <w:rsid w:val="6FA4678E"/>
    <w:rsid w:val="6FC71148"/>
    <w:rsid w:val="70472B98"/>
    <w:rsid w:val="708A9745"/>
    <w:rsid w:val="70B47BAA"/>
    <w:rsid w:val="70C85B1E"/>
    <w:rsid w:val="71026966"/>
    <w:rsid w:val="711F9163"/>
    <w:rsid w:val="712BC857"/>
    <w:rsid w:val="7158D782"/>
    <w:rsid w:val="7165E260"/>
    <w:rsid w:val="71A53D1F"/>
    <w:rsid w:val="71C5D888"/>
    <w:rsid w:val="71F58A83"/>
    <w:rsid w:val="71FB1921"/>
    <w:rsid w:val="720914E5"/>
    <w:rsid w:val="720D5B7D"/>
    <w:rsid w:val="7259A1E6"/>
    <w:rsid w:val="7281EDEC"/>
    <w:rsid w:val="73455B83"/>
    <w:rsid w:val="73AE2A3E"/>
    <w:rsid w:val="73DCF75E"/>
    <w:rsid w:val="741C1745"/>
    <w:rsid w:val="742582BC"/>
    <w:rsid w:val="74A9BA94"/>
    <w:rsid w:val="751E3388"/>
    <w:rsid w:val="7594467F"/>
    <w:rsid w:val="75B2934E"/>
    <w:rsid w:val="75D2DDD9"/>
    <w:rsid w:val="76E7B0A1"/>
    <w:rsid w:val="77158494"/>
    <w:rsid w:val="772528F0"/>
    <w:rsid w:val="77536863"/>
    <w:rsid w:val="7766B0AD"/>
    <w:rsid w:val="77758E03"/>
    <w:rsid w:val="779D15FA"/>
    <w:rsid w:val="779DE039"/>
    <w:rsid w:val="77C3B42A"/>
    <w:rsid w:val="781CA045"/>
    <w:rsid w:val="7842FAE4"/>
    <w:rsid w:val="789530A5"/>
    <w:rsid w:val="7987B4AD"/>
    <w:rsid w:val="79DE29D4"/>
    <w:rsid w:val="79EB6AB7"/>
    <w:rsid w:val="7A5EEBA0"/>
    <w:rsid w:val="7AB5B245"/>
    <w:rsid w:val="7AF7E12B"/>
    <w:rsid w:val="7B4A77A6"/>
    <w:rsid w:val="7D0FCD64"/>
    <w:rsid w:val="7DC666FB"/>
    <w:rsid w:val="7E377E1E"/>
    <w:rsid w:val="7E406781"/>
    <w:rsid w:val="7EF3A80F"/>
    <w:rsid w:val="7F5C64A0"/>
    <w:rsid w:val="7F690A6F"/>
    <w:rsid w:val="7FA4E491"/>
    <w:rsid w:val="7FB142D0"/>
    <w:rsid w:val="7FCEF785"/>
    <w:rsid w:val="7FF88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27EF"/>
  <w15:chartTrackingRefBased/>
  <w15:docId w15:val="{0D2D7B26-8E11-4E77-A237-EFA331F086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588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8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A5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09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76097"/>
    <w:rPr>
      <w:rFonts w:ascii="Segoe UI" w:hAnsi="Segoe UI" w:eastAsia="Times New Roman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76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09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76097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0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6097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D68DC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D68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E2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5008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3F0B5F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3F0B5F"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3F0B5F"/>
    <w:rPr>
      <w:vertAlign w:val="superscript"/>
    </w:rPr>
  </w:style>
  <w:style w:type="table" w:styleId="TableGrid1" w:customStyle="1">
    <w:name w:val="Table Grid1"/>
    <w:basedOn w:val="TableNormal"/>
    <w:next w:val="TableGrid"/>
    <w:uiPriority w:val="39"/>
    <w:rsid w:val="00B61E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43AA9"/>
    <w:rPr>
      <w:color w:val="605E5C"/>
      <w:shd w:val="clear" w:color="auto" w:fill="E1DFDD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Default" w:customStyle="1">
    <w:name w:val="Default"/>
    <w:rsid w:val="001A75C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A31D2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Web">
    <w:name w:val="Normal (Web)"/>
    <w:basedOn w:val="Normal"/>
    <w:uiPriority w:val="99"/>
    <w:unhideWhenUsed/>
    <w:rsid w:val="0045777C"/>
    <w:pPr>
      <w:spacing w:before="100" w:beforeAutospacing="1" w:after="100" w:afterAutospacing="1"/>
    </w:pPr>
  </w:style>
  <w:style w:type="character" w:styleId="ListParagraphChar" w:customStyle="1">
    <w:name w:val="List Paragraph Char"/>
    <w:link w:val="ListParagraph"/>
    <w:uiPriority w:val="34"/>
    <w:locked/>
    <w:rsid w:val="000D51DD"/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package" Target="embeddings/Microsoft_Word_Document.docx" Id="rId12" /><Relationship Type="http://schemas.openxmlformats.org/officeDocument/2006/relationships/customXml" Target="../customXml/item5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7CA58.85B196E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CBC - Word" ma:contentTypeID="0x010100F62BDD624346DE44BD667E2A6833A2F300862640209B644F4895065309B47E0E5F" ma:contentTypeVersion="2" ma:contentTypeDescription="" ma:contentTypeScope="" ma:versionID="ca6ace856bc931b3497659b74ca2790e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1611bd98a90b787d2eafa623b5d82f38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945d2c57-1183-427d-a604-2e0ffdafb2d4" ContentTypeId="0x010100F62BDD624346DE44BD667E2A6833A2F3" PreviousValue="false" LastSyncTimeStamp="2023-08-31T09:40:33.483Z"/>
</file>

<file path=customXml/itemProps1.xml><?xml version="1.0" encoding="utf-8"?>
<ds:datastoreItem xmlns:ds="http://schemas.openxmlformats.org/officeDocument/2006/customXml" ds:itemID="{16D49B46-5DFD-443C-A8B3-D800A937F91B}"/>
</file>

<file path=customXml/itemProps2.xml><?xml version="1.0" encoding="utf-8"?>
<ds:datastoreItem xmlns:ds="http://schemas.openxmlformats.org/officeDocument/2006/customXml" ds:itemID="{A7D76501-A939-4F0A-B7F8-9BF3B5635C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EC14E5-41F6-4F7E-ADD3-ED17D63503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1EF09-B40C-46AF-A11D-99C2A61A72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87AAA8-1B91-4A06-8E44-950BE898B6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</dc:creator>
  <keywords/>
  <dc:description/>
  <lastModifiedBy>Honeywill, Steven</lastModifiedBy>
  <revision>4</revision>
  <dcterms:created xsi:type="dcterms:W3CDTF">2025-03-21T10:28:00.0000000Z</dcterms:created>
  <dcterms:modified xsi:type="dcterms:W3CDTF">2025-03-21T10:32:31.5408843Z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0x010100F62BDD624346DE44BD667E2A6833A2F300862640209B644F4895065309B47E0E5F</vt:lpwstr>
  </property>
  <property fmtid="{D5CDD505-2E9C-101B-9397-08002B2CF9AE}" pid="3" name="MSIP_Label_f2acd28b-79a3-4a0f-b0ff-4b75658b1549_Enabled">
    <vt:lpwstr>true</vt:lpwstr>
  </property>
  <property fmtid="{D5CDD505-2E9C-101B-9397-08002B2CF9AE}" pid="4" name="MSIP_Label_f2acd28b-79a3-4a0f-b0ff-4b75658b1549_SetDate">
    <vt:lpwstr>2025-03-06T14:18:44Z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iteId">
    <vt:lpwstr>e46c8472-ef5d-4b63-bc74-4a60db42c371</vt:lpwstr>
  </property>
  <property fmtid="{D5CDD505-2E9C-101B-9397-08002B2CF9AE}" pid="8" name="MSIP_Label_f2acd28b-79a3-4a0f-b0ff-4b75658b1549_ActionId">
    <vt:lpwstr>75001a05-2b5a-49b1-8841-972863441d98</vt:lpwstr>
  </property>
  <property fmtid="{D5CDD505-2E9C-101B-9397-08002B2CF9AE}" pid="9" name="MSIP_Label_f2acd28b-79a3-4a0f-b0ff-4b75658b1549_ContentBits">
    <vt:lpwstr>0</vt:lpwstr>
  </property>
  <property fmtid="{D5CDD505-2E9C-101B-9397-08002B2CF9AE}" pid="10" name="MSIP_Label_f2acd28b-79a3-4a0f-b0ff-4b75658b1549_Tag">
    <vt:lpwstr>10, 3, 0, 1</vt:lpwstr>
  </property>
</Properties>
</file>