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30B3" w:rsidR="00C01ED5" w:rsidP="004B3806" w:rsidRDefault="00C01ED5" w14:paraId="519A189B" w14:textId="77777777">
      <w:pPr>
        <w:jc w:val="both"/>
        <w:rPr>
          <w:rFonts w:ascii="Arial" w:hAnsi="Arial" w:eastAsia="Arial" w:cs="Arial"/>
          <w:lang w:val="en-US"/>
        </w:rPr>
      </w:pPr>
    </w:p>
    <w:p w:rsidR="00BD0FD1" w:rsidP="004B3806" w:rsidRDefault="00BD0FD1" w14:paraId="1FAEC6C1" w14:textId="28320FB5">
      <w:pPr>
        <w:jc w:val="both"/>
        <w:rPr>
          <w:rFonts w:ascii="Arial" w:hAnsi="Arial" w:eastAsia="Arial" w:cs="Arial"/>
          <w:b/>
          <w:lang w:val="en-US"/>
        </w:rPr>
      </w:pPr>
      <w:r w:rsidRPr="000C336A">
        <w:rPr>
          <w:rFonts w:ascii="Arial" w:hAnsi="Arial" w:eastAsia="Arial" w:cs="Arial"/>
          <w:b/>
          <w:lang w:val="en-US"/>
        </w:rPr>
        <w:t xml:space="preserve">SUBJECT: </w:t>
      </w:r>
      <w:r w:rsidR="000A77D2">
        <w:rPr>
          <w:rFonts w:ascii="Arial" w:hAnsi="Arial" w:eastAsia="Arial" w:cs="Arial"/>
          <w:b/>
          <w:lang w:val="en-US"/>
        </w:rPr>
        <w:t>FUNDING</w:t>
      </w:r>
      <w:r w:rsidR="00C37204">
        <w:rPr>
          <w:rFonts w:ascii="Arial" w:hAnsi="Arial" w:eastAsia="Arial" w:cs="Arial"/>
          <w:b/>
          <w:lang w:val="en-US"/>
        </w:rPr>
        <w:t xml:space="preserve"> AGREEMENT FOR</w:t>
      </w:r>
      <w:r w:rsidR="000A77D2">
        <w:rPr>
          <w:rFonts w:ascii="Arial" w:hAnsi="Arial" w:eastAsia="Arial" w:cs="Arial"/>
          <w:b/>
          <w:lang w:val="en-US"/>
        </w:rPr>
        <w:t xml:space="preserve"> </w:t>
      </w:r>
      <w:r w:rsidR="00347EE2">
        <w:rPr>
          <w:rFonts w:ascii="Arial" w:hAnsi="Arial" w:eastAsia="Arial" w:cs="Arial"/>
          <w:b/>
          <w:lang w:val="en-US"/>
        </w:rPr>
        <w:t>DOMESTIC HOMICIDE REVIEWS</w:t>
      </w:r>
    </w:p>
    <w:p w:rsidR="00375BFD" w:rsidP="004B3806" w:rsidRDefault="00375BFD" w14:paraId="7AC16D80" w14:textId="77777777">
      <w:pPr>
        <w:tabs>
          <w:tab w:val="left" w:pos="2552"/>
        </w:tabs>
        <w:jc w:val="both"/>
        <w:rPr>
          <w:rFonts w:ascii="Arial" w:hAnsi="Arial" w:eastAsia="Arial" w:cs="Arial"/>
          <w:i/>
          <w:lang w:val="en-US"/>
        </w:rPr>
      </w:pPr>
    </w:p>
    <w:p w:rsidR="00375BFD" w:rsidP="004B3806" w:rsidRDefault="00375BFD" w14:paraId="7E3E21A2" w14:textId="5F712626">
      <w:pPr>
        <w:tabs>
          <w:tab w:val="left" w:pos="2552"/>
        </w:tabs>
        <w:jc w:val="both"/>
        <w:rPr>
          <w:rFonts w:ascii="Arial" w:hAnsi="Arial" w:cs="Arial"/>
          <w:b/>
          <w:bCs/>
          <w:lang w:val="en-US"/>
        </w:rPr>
      </w:pPr>
      <w:r>
        <w:rPr>
          <w:rFonts w:ascii="Arial" w:hAnsi="Arial" w:cs="Arial"/>
          <w:b/>
          <w:bCs/>
          <w:lang w:val="en-US"/>
        </w:rPr>
        <w:t>MEETING:</w:t>
      </w:r>
      <w:r>
        <w:rPr>
          <w:rFonts w:ascii="Arial" w:hAnsi="Arial" w:cs="Arial"/>
          <w:b/>
          <w:bCs/>
          <w:lang w:val="en-US"/>
        </w:rPr>
        <w:t xml:space="preserve"> </w:t>
      </w:r>
      <w:r>
        <w:rPr>
          <w:rFonts w:ascii="Arial" w:hAnsi="Arial" w:cs="Arial"/>
          <w:b/>
          <w:bCs/>
          <w:lang w:val="en-US"/>
        </w:rPr>
        <w:t>Gwent Public Services Board</w:t>
      </w:r>
    </w:p>
    <w:p w:rsidR="00375BFD" w:rsidP="004B3806" w:rsidRDefault="00375BFD" w14:paraId="04016546" w14:textId="77777777">
      <w:pPr>
        <w:tabs>
          <w:tab w:val="left" w:pos="2552"/>
        </w:tabs>
        <w:jc w:val="both"/>
        <w:rPr>
          <w:rFonts w:ascii="Arial" w:hAnsi="Arial" w:cs="Arial"/>
          <w:b/>
          <w:bCs/>
          <w:lang w:val="en-US"/>
        </w:rPr>
      </w:pPr>
    </w:p>
    <w:p w:rsidR="00375BFD" w:rsidP="004B3806" w:rsidRDefault="00375BFD" w14:paraId="6A909C85" w14:textId="4A58569D">
      <w:pPr>
        <w:tabs>
          <w:tab w:val="left" w:pos="2552"/>
        </w:tabs>
        <w:jc w:val="both"/>
        <w:rPr>
          <w:rFonts w:ascii="Arial" w:hAnsi="Arial" w:cs="Arial"/>
          <w:b/>
          <w:bCs/>
          <w:lang w:val="en-US"/>
        </w:rPr>
      </w:pPr>
      <w:r>
        <w:rPr>
          <w:rFonts w:ascii="Arial" w:hAnsi="Arial" w:cs="Arial"/>
          <w:b/>
          <w:bCs/>
          <w:lang w:val="en-US"/>
        </w:rPr>
        <w:t>DATE: 27</w:t>
      </w:r>
      <w:r w:rsidRPr="00375BFD">
        <w:rPr>
          <w:rFonts w:ascii="Arial" w:hAnsi="Arial" w:cs="Arial"/>
          <w:b/>
          <w:bCs/>
          <w:vertAlign w:val="superscript"/>
          <w:lang w:val="en-US"/>
        </w:rPr>
        <w:t>th</w:t>
      </w:r>
      <w:r>
        <w:rPr>
          <w:rFonts w:ascii="Arial" w:hAnsi="Arial" w:cs="Arial"/>
          <w:b/>
          <w:bCs/>
          <w:lang w:val="en-US"/>
        </w:rPr>
        <w:t xml:space="preserve"> March 2025</w:t>
      </w:r>
    </w:p>
    <w:p w:rsidR="00375BFD" w:rsidP="004B3806" w:rsidRDefault="00375BFD" w14:paraId="6E99C53E" w14:textId="77777777">
      <w:pPr>
        <w:tabs>
          <w:tab w:val="left" w:pos="2552"/>
        </w:tabs>
        <w:jc w:val="both"/>
        <w:rPr>
          <w:rFonts w:ascii="Arial" w:hAnsi="Arial" w:cs="Arial"/>
          <w:b/>
          <w:bCs/>
          <w:lang w:val="en-US"/>
        </w:rPr>
      </w:pPr>
    </w:p>
    <w:p w:rsidR="00375BFD" w:rsidP="00375BFD" w:rsidRDefault="00375BFD" w14:paraId="578D46DC" w14:textId="77777777">
      <w:pPr>
        <w:tabs>
          <w:tab w:val="left" w:pos="2552"/>
        </w:tabs>
        <w:jc w:val="both"/>
        <w:rPr>
          <w:rFonts w:ascii="Arial" w:hAnsi="Arial" w:eastAsia="Arial" w:cs="Arial"/>
          <w:i/>
          <w:lang w:val="en-US"/>
        </w:rPr>
      </w:pPr>
      <w:r w:rsidRPr="004330B3">
        <w:rPr>
          <w:rFonts w:ascii="Arial" w:hAnsi="Arial" w:eastAsia="Arial" w:cs="Arial"/>
          <w:i/>
          <w:lang w:val="en-US"/>
        </w:rPr>
        <w:t>Report</w:t>
      </w:r>
      <w:r>
        <w:rPr>
          <w:rFonts w:ascii="Arial" w:hAnsi="Arial" w:eastAsia="Arial" w:cs="Arial"/>
          <w:i/>
          <w:lang w:val="en-US"/>
        </w:rPr>
        <w:t xml:space="preserve"> prepared by Michelle Chaplin (</w:t>
      </w:r>
      <w:bookmarkStart w:name="_Hlk193105439" w:id="0"/>
      <w:r>
        <w:rPr>
          <w:rFonts w:ascii="Arial" w:hAnsi="Arial" w:eastAsia="Arial" w:cs="Arial"/>
          <w:i/>
          <w:lang w:val="en-US"/>
        </w:rPr>
        <w:t>Detective Superintendent Gwent Police / Co-Chair of Case Review Group), Kelly Richards (Gwent Safeguarding Board Business Manager)</w:t>
      </w:r>
      <w:bookmarkEnd w:id="0"/>
      <w:r>
        <w:rPr>
          <w:rFonts w:ascii="Arial" w:hAnsi="Arial" w:eastAsia="Arial" w:cs="Arial"/>
          <w:i/>
          <w:lang w:val="en-US"/>
        </w:rPr>
        <w:t xml:space="preserve"> and Amy Thomas, (VAWDASV Regional Lead Advisor).</w:t>
      </w:r>
    </w:p>
    <w:p w:rsidRPr="004330B3" w:rsidR="00375BFD" w:rsidP="004B3806" w:rsidRDefault="00375BFD" w14:paraId="17ACB44A" w14:textId="77777777">
      <w:pPr>
        <w:tabs>
          <w:tab w:val="left" w:pos="2552"/>
        </w:tabs>
        <w:jc w:val="both"/>
        <w:rPr>
          <w:rFonts w:ascii="Arial" w:hAnsi="Arial" w:eastAsia="Arial" w:cs="Arial"/>
          <w:i/>
          <w:lang w:val="en-US"/>
        </w:rPr>
      </w:pPr>
    </w:p>
    <w:p w:rsidRPr="004330B3" w:rsidR="00BD0FD1" w:rsidP="004B3806" w:rsidRDefault="00BD0FD1" w14:paraId="21F059BF" w14:textId="77777777">
      <w:pPr>
        <w:jc w:val="both"/>
        <w:rPr>
          <w:rFonts w:ascii="Arial" w:hAnsi="Arial" w:eastAsia="Arial" w:cs="Arial"/>
          <w:lang w:val="en-US"/>
        </w:rPr>
      </w:pPr>
      <w:r w:rsidRPr="004330B3">
        <w:rPr>
          <w:rFonts w:ascii="Arial" w:hAnsi="Arial" w:eastAsia="Arial" w:cs="Arial"/>
          <w:lang w:val="en-US"/>
        </w:rPr>
        <w:t xml:space="preserve"> </w:t>
      </w:r>
    </w:p>
    <w:tbl>
      <w:tblPr>
        <w:tblW w:w="9284" w:type="dxa"/>
        <w:tblLook w:val="01E0" w:firstRow="1" w:lastRow="1" w:firstColumn="1" w:lastColumn="1" w:noHBand="0" w:noVBand="0"/>
      </w:tblPr>
      <w:tblGrid>
        <w:gridCol w:w="959"/>
        <w:gridCol w:w="8325"/>
      </w:tblGrid>
      <w:tr w:rsidRPr="004330B3" w:rsidR="00BD0FD1" w:rsidTr="551E4BB1" w14:paraId="03ABCCD7" w14:textId="77777777">
        <w:tc>
          <w:tcPr>
            <w:tcW w:w="959" w:type="dxa"/>
            <w:tcMar/>
          </w:tcPr>
          <w:p w:rsidRPr="004330B3" w:rsidR="00BD0FD1" w:rsidP="004B3806" w:rsidRDefault="00BD0FD1" w14:paraId="1CAFB128" w14:textId="77777777">
            <w:pPr>
              <w:jc w:val="both"/>
              <w:rPr>
                <w:rFonts w:ascii="Arial" w:hAnsi="Arial" w:eastAsia="Arial" w:cs="Arial"/>
                <w:b/>
                <w:lang w:val="en-US"/>
              </w:rPr>
            </w:pPr>
            <w:r w:rsidRPr="004330B3">
              <w:rPr>
                <w:rFonts w:ascii="Arial" w:hAnsi="Arial" w:eastAsia="Arial" w:cs="Arial"/>
                <w:b/>
                <w:lang w:val="en-US"/>
              </w:rPr>
              <w:t>1.</w:t>
            </w:r>
          </w:p>
        </w:tc>
        <w:tc>
          <w:tcPr>
            <w:tcW w:w="8325" w:type="dxa"/>
            <w:tcMar/>
          </w:tcPr>
          <w:p w:rsidRPr="000C336A" w:rsidR="00BD0FD1" w:rsidP="004B3806" w:rsidRDefault="00BD0FD1" w14:paraId="1B2C0AEC" w14:textId="77777777">
            <w:pPr>
              <w:jc w:val="both"/>
              <w:rPr>
                <w:rFonts w:ascii="Arial" w:hAnsi="Arial" w:eastAsia="Arial" w:cs="Arial"/>
                <w:b/>
                <w:lang w:val="en-US"/>
              </w:rPr>
            </w:pPr>
            <w:r w:rsidRPr="000C336A">
              <w:rPr>
                <w:rFonts w:ascii="Arial" w:hAnsi="Arial" w:eastAsia="Arial" w:cs="Arial"/>
                <w:b/>
                <w:lang w:val="en-US"/>
              </w:rPr>
              <w:t>Area Affected</w:t>
            </w:r>
          </w:p>
        </w:tc>
      </w:tr>
      <w:tr w:rsidRPr="004330B3" w:rsidR="00BD0FD1" w:rsidTr="551E4BB1" w14:paraId="31FF1114" w14:textId="77777777">
        <w:tc>
          <w:tcPr>
            <w:tcW w:w="959" w:type="dxa"/>
            <w:tcMar/>
          </w:tcPr>
          <w:p w:rsidRPr="004330B3" w:rsidR="00BD0FD1" w:rsidP="004B3806" w:rsidRDefault="00BD0FD1" w14:paraId="70DE040F" w14:textId="77777777">
            <w:pPr>
              <w:jc w:val="both"/>
              <w:rPr>
                <w:rFonts w:ascii="Arial" w:hAnsi="Arial" w:eastAsia="Arial" w:cs="Arial"/>
                <w:b/>
                <w:lang w:val="en-US"/>
              </w:rPr>
            </w:pPr>
          </w:p>
        </w:tc>
        <w:tc>
          <w:tcPr>
            <w:tcW w:w="8325" w:type="dxa"/>
            <w:tcMar/>
          </w:tcPr>
          <w:p w:rsidRPr="004330B3" w:rsidR="00BD0FD1" w:rsidP="004B3806" w:rsidRDefault="00BD0FD1" w14:paraId="104E96E2" w14:textId="77777777">
            <w:pPr>
              <w:jc w:val="both"/>
              <w:rPr>
                <w:rFonts w:ascii="Arial" w:hAnsi="Arial" w:eastAsia="Arial" w:cs="Arial"/>
                <w:lang w:val="en-US"/>
              </w:rPr>
            </w:pPr>
          </w:p>
        </w:tc>
      </w:tr>
      <w:tr w:rsidRPr="004330B3" w:rsidR="00BD0FD1" w:rsidTr="551E4BB1" w14:paraId="1D466D8C" w14:textId="77777777">
        <w:tc>
          <w:tcPr>
            <w:tcW w:w="959" w:type="dxa"/>
            <w:tcMar/>
          </w:tcPr>
          <w:p w:rsidRPr="004330B3" w:rsidR="00BD0FD1" w:rsidP="004B3806" w:rsidRDefault="00BD0FD1" w14:paraId="213EEFDA" w14:textId="77777777">
            <w:pPr>
              <w:jc w:val="both"/>
              <w:rPr>
                <w:rFonts w:ascii="Arial" w:hAnsi="Arial" w:eastAsia="Arial" w:cs="Arial"/>
                <w:lang w:val="en-US"/>
              </w:rPr>
            </w:pPr>
            <w:r w:rsidRPr="004330B3">
              <w:rPr>
                <w:rFonts w:ascii="Arial" w:hAnsi="Arial" w:eastAsia="Arial" w:cs="Arial"/>
                <w:lang w:val="en-US"/>
              </w:rPr>
              <w:t>1.1</w:t>
            </w:r>
          </w:p>
        </w:tc>
        <w:tc>
          <w:tcPr>
            <w:tcW w:w="8325" w:type="dxa"/>
            <w:tcMar/>
          </w:tcPr>
          <w:p w:rsidRPr="004330B3" w:rsidR="00BD0FD1" w:rsidP="004B3806" w:rsidRDefault="00347EE2" w14:paraId="068451E5" w14:textId="77777777">
            <w:pPr>
              <w:jc w:val="both"/>
              <w:rPr>
                <w:rFonts w:ascii="Arial" w:hAnsi="Arial" w:eastAsia="Arial" w:cs="Arial"/>
                <w:lang w:val="en-US"/>
              </w:rPr>
            </w:pPr>
            <w:r>
              <w:rPr>
                <w:rFonts w:ascii="Arial" w:hAnsi="Arial" w:eastAsia="Arial" w:cs="Arial"/>
                <w:lang w:val="en-US"/>
              </w:rPr>
              <w:t>Gwent wide</w:t>
            </w:r>
          </w:p>
        </w:tc>
      </w:tr>
      <w:tr w:rsidRPr="004330B3" w:rsidR="00BD0FD1" w:rsidTr="551E4BB1" w14:paraId="6FE6D0C9" w14:textId="77777777">
        <w:tc>
          <w:tcPr>
            <w:tcW w:w="959" w:type="dxa"/>
            <w:tcMar/>
          </w:tcPr>
          <w:p w:rsidRPr="004330B3" w:rsidR="00BD0FD1" w:rsidP="004B3806" w:rsidRDefault="00BD0FD1" w14:paraId="31E565E8" w14:textId="77777777">
            <w:pPr>
              <w:jc w:val="both"/>
              <w:rPr>
                <w:rFonts w:ascii="Arial" w:hAnsi="Arial" w:eastAsia="Arial" w:cs="Arial"/>
                <w:b/>
                <w:lang w:val="en-US"/>
              </w:rPr>
            </w:pPr>
          </w:p>
        </w:tc>
        <w:tc>
          <w:tcPr>
            <w:tcW w:w="8325" w:type="dxa"/>
            <w:tcMar/>
          </w:tcPr>
          <w:p w:rsidRPr="004330B3" w:rsidR="00BD0FD1" w:rsidP="004B3806" w:rsidRDefault="00BD0FD1" w14:paraId="48834B26" w14:textId="77777777">
            <w:pPr>
              <w:jc w:val="both"/>
              <w:rPr>
                <w:rFonts w:ascii="Arial" w:hAnsi="Arial" w:eastAsia="Arial" w:cs="Arial"/>
                <w:b/>
                <w:lang w:val="en-US"/>
              </w:rPr>
            </w:pPr>
          </w:p>
        </w:tc>
      </w:tr>
      <w:tr w:rsidRPr="004330B3" w:rsidR="00BD0FD1" w:rsidTr="551E4BB1" w14:paraId="2470C974" w14:textId="77777777">
        <w:tc>
          <w:tcPr>
            <w:tcW w:w="959" w:type="dxa"/>
            <w:tcMar/>
          </w:tcPr>
          <w:p w:rsidRPr="004330B3" w:rsidR="00BD0FD1" w:rsidP="004B3806" w:rsidRDefault="00BD0FD1" w14:paraId="04E4A303" w14:textId="77777777">
            <w:pPr>
              <w:jc w:val="both"/>
              <w:rPr>
                <w:rFonts w:ascii="Arial" w:hAnsi="Arial" w:eastAsia="Arial" w:cs="Arial"/>
                <w:b/>
                <w:lang w:val="en-US"/>
              </w:rPr>
            </w:pPr>
            <w:r w:rsidRPr="004330B3">
              <w:rPr>
                <w:rFonts w:ascii="Arial" w:hAnsi="Arial" w:eastAsia="Arial" w:cs="Arial"/>
                <w:b/>
                <w:lang w:val="en-US"/>
              </w:rPr>
              <w:t>2.</w:t>
            </w:r>
          </w:p>
        </w:tc>
        <w:tc>
          <w:tcPr>
            <w:tcW w:w="8325" w:type="dxa"/>
            <w:tcMar/>
          </w:tcPr>
          <w:p w:rsidRPr="000C336A" w:rsidR="00BD0FD1" w:rsidP="004B3806" w:rsidRDefault="00BD0FD1" w14:paraId="524E6475" w14:textId="77777777">
            <w:pPr>
              <w:jc w:val="both"/>
              <w:rPr>
                <w:rFonts w:ascii="Arial" w:hAnsi="Arial" w:eastAsia="Arial" w:cs="Arial"/>
                <w:b/>
                <w:lang w:val="en-US"/>
              </w:rPr>
            </w:pPr>
            <w:r w:rsidRPr="000C336A">
              <w:rPr>
                <w:rFonts w:ascii="Arial" w:hAnsi="Arial" w:eastAsia="Arial" w:cs="Arial"/>
                <w:b/>
                <w:lang w:val="en-US"/>
              </w:rPr>
              <w:t>Purpose of Report</w:t>
            </w:r>
          </w:p>
        </w:tc>
      </w:tr>
      <w:tr w:rsidRPr="004330B3" w:rsidR="00BD0FD1" w:rsidTr="551E4BB1" w14:paraId="4E616F06" w14:textId="77777777">
        <w:tc>
          <w:tcPr>
            <w:tcW w:w="959" w:type="dxa"/>
            <w:tcMar/>
          </w:tcPr>
          <w:p w:rsidRPr="004330B3" w:rsidR="00BD0FD1" w:rsidP="004B3806" w:rsidRDefault="00BD0FD1" w14:paraId="15ED1EAA" w14:textId="77777777">
            <w:pPr>
              <w:jc w:val="both"/>
              <w:rPr>
                <w:rFonts w:ascii="Arial" w:hAnsi="Arial" w:eastAsia="Arial" w:cs="Arial"/>
                <w:b/>
                <w:lang w:val="en-US"/>
              </w:rPr>
            </w:pPr>
          </w:p>
        </w:tc>
        <w:tc>
          <w:tcPr>
            <w:tcW w:w="8325" w:type="dxa"/>
            <w:tcMar/>
          </w:tcPr>
          <w:p w:rsidRPr="004330B3" w:rsidR="00BD0FD1" w:rsidP="004B3806" w:rsidRDefault="00BD0FD1" w14:paraId="44BE2A16" w14:textId="77777777">
            <w:pPr>
              <w:jc w:val="both"/>
              <w:rPr>
                <w:rFonts w:ascii="Arial" w:hAnsi="Arial" w:eastAsia="Arial" w:cs="Arial"/>
                <w:lang w:val="en-US"/>
              </w:rPr>
            </w:pPr>
          </w:p>
        </w:tc>
      </w:tr>
      <w:tr w:rsidRPr="004330B3" w:rsidR="00BD0FD1" w:rsidTr="551E4BB1" w14:paraId="445FBE3A" w14:textId="77777777">
        <w:tc>
          <w:tcPr>
            <w:tcW w:w="959" w:type="dxa"/>
            <w:tcMar/>
          </w:tcPr>
          <w:p w:rsidRPr="004330B3" w:rsidR="00BD0FD1" w:rsidP="004B3806" w:rsidRDefault="00BD0FD1" w14:paraId="0AED1BA4" w14:textId="77777777">
            <w:pPr>
              <w:jc w:val="both"/>
              <w:rPr>
                <w:rFonts w:ascii="Arial" w:hAnsi="Arial" w:eastAsia="Arial" w:cs="Arial"/>
                <w:lang w:val="en-US"/>
              </w:rPr>
            </w:pPr>
            <w:r w:rsidRPr="004330B3">
              <w:rPr>
                <w:rFonts w:ascii="Arial" w:hAnsi="Arial" w:eastAsia="Arial" w:cs="Arial"/>
                <w:lang w:val="en-US"/>
              </w:rPr>
              <w:t>2.1</w:t>
            </w:r>
          </w:p>
        </w:tc>
        <w:tc>
          <w:tcPr>
            <w:tcW w:w="8325" w:type="dxa"/>
            <w:tcMar/>
          </w:tcPr>
          <w:p w:rsidRPr="004330B3" w:rsidR="00BD0FD1" w:rsidP="004B3806" w:rsidRDefault="000F56CE" w14:paraId="454A099E" w14:textId="09395D78">
            <w:pPr>
              <w:jc w:val="both"/>
              <w:rPr>
                <w:rFonts w:ascii="Arial" w:hAnsi="Arial" w:eastAsia="Arial" w:cs="Arial"/>
                <w:lang w:val="en-US"/>
              </w:rPr>
            </w:pPr>
            <w:r>
              <w:rPr>
                <w:rFonts w:ascii="Arial" w:hAnsi="Arial" w:eastAsia="Arial" w:cs="Arial"/>
                <w:lang w:val="en-US"/>
              </w:rPr>
              <w:t>To seek</w:t>
            </w:r>
            <w:r w:rsidR="00347EE2">
              <w:rPr>
                <w:rFonts w:ascii="Arial" w:hAnsi="Arial" w:eastAsia="Arial" w:cs="Arial"/>
                <w:lang w:val="en-US"/>
              </w:rPr>
              <w:t xml:space="preserve"> </w:t>
            </w:r>
            <w:r w:rsidR="00B260B3">
              <w:rPr>
                <w:rFonts w:ascii="Arial" w:hAnsi="Arial" w:eastAsia="Arial" w:cs="Arial"/>
                <w:lang w:val="en-US"/>
              </w:rPr>
              <w:t>agreement</w:t>
            </w:r>
            <w:r w:rsidR="00347EE2">
              <w:rPr>
                <w:rFonts w:ascii="Arial" w:hAnsi="Arial" w:eastAsia="Arial" w:cs="Arial"/>
                <w:lang w:val="en-US"/>
              </w:rPr>
              <w:t xml:space="preserve"> to the </w:t>
            </w:r>
            <w:r w:rsidR="00B260B3">
              <w:rPr>
                <w:rFonts w:ascii="Arial" w:hAnsi="Arial" w:eastAsia="Arial" w:cs="Arial"/>
                <w:lang w:val="en-US"/>
              </w:rPr>
              <w:t>funding of</w:t>
            </w:r>
            <w:r w:rsidR="00347EE2">
              <w:rPr>
                <w:rFonts w:ascii="Arial" w:hAnsi="Arial" w:eastAsia="Arial" w:cs="Arial"/>
                <w:lang w:val="en-US"/>
              </w:rPr>
              <w:t xml:space="preserve"> </w:t>
            </w:r>
            <w:r w:rsidR="00E26DA3">
              <w:rPr>
                <w:rFonts w:ascii="Arial" w:hAnsi="Arial" w:eastAsia="Arial" w:cs="Arial"/>
                <w:lang w:val="en-US"/>
              </w:rPr>
              <w:t xml:space="preserve">future </w:t>
            </w:r>
            <w:r w:rsidR="00347EE2">
              <w:rPr>
                <w:rFonts w:ascii="Arial" w:hAnsi="Arial" w:eastAsia="Arial" w:cs="Arial"/>
                <w:lang w:val="en-US"/>
              </w:rPr>
              <w:t>Domestic Homicide Reviews (DHR) across Gwent.</w:t>
            </w:r>
            <w:r w:rsidR="00BB4D90">
              <w:rPr>
                <w:rFonts w:ascii="Arial" w:hAnsi="Arial" w:eastAsia="Arial" w:cs="Arial"/>
                <w:lang w:val="en-US"/>
              </w:rPr>
              <w:t xml:space="preserve"> </w:t>
            </w:r>
          </w:p>
        </w:tc>
      </w:tr>
      <w:tr w:rsidRPr="004330B3" w:rsidR="00BD0FD1" w:rsidTr="551E4BB1" w14:paraId="4D244AE0" w14:textId="77777777">
        <w:tc>
          <w:tcPr>
            <w:tcW w:w="959" w:type="dxa"/>
            <w:tcMar/>
          </w:tcPr>
          <w:p w:rsidRPr="004330B3" w:rsidR="00BD0FD1" w:rsidP="004B3806" w:rsidRDefault="00BD0FD1" w14:paraId="28118A05" w14:textId="77777777">
            <w:pPr>
              <w:jc w:val="both"/>
              <w:rPr>
                <w:rFonts w:ascii="Arial" w:hAnsi="Arial" w:eastAsia="Arial" w:cs="Arial"/>
                <w:b/>
                <w:lang w:val="en-US"/>
              </w:rPr>
            </w:pPr>
          </w:p>
        </w:tc>
        <w:tc>
          <w:tcPr>
            <w:tcW w:w="8325" w:type="dxa"/>
            <w:tcMar/>
          </w:tcPr>
          <w:p w:rsidRPr="004330B3" w:rsidR="00BD0FD1" w:rsidP="004B3806" w:rsidRDefault="00BD0FD1" w14:paraId="43E89837" w14:textId="77777777">
            <w:pPr>
              <w:jc w:val="both"/>
              <w:rPr>
                <w:rFonts w:ascii="Arial" w:hAnsi="Arial" w:eastAsia="Arial" w:cs="Arial"/>
                <w:b/>
                <w:lang w:val="en-US"/>
              </w:rPr>
            </w:pPr>
          </w:p>
        </w:tc>
      </w:tr>
      <w:tr w:rsidRPr="004330B3" w:rsidR="00BD0FD1" w:rsidTr="551E4BB1" w14:paraId="7EA82D51" w14:textId="77777777">
        <w:tc>
          <w:tcPr>
            <w:tcW w:w="959" w:type="dxa"/>
            <w:tcMar/>
          </w:tcPr>
          <w:p w:rsidRPr="004330B3" w:rsidR="00BD0FD1" w:rsidP="004B3806" w:rsidRDefault="00BD0FD1" w14:paraId="04594580" w14:textId="77777777">
            <w:pPr>
              <w:jc w:val="both"/>
              <w:rPr>
                <w:rFonts w:ascii="Arial" w:hAnsi="Arial" w:eastAsia="Arial" w:cs="Arial"/>
                <w:b/>
                <w:lang w:val="en-US"/>
              </w:rPr>
            </w:pPr>
            <w:r>
              <w:rPr>
                <w:rFonts w:ascii="Arial" w:hAnsi="Arial" w:eastAsia="Arial" w:cs="Arial"/>
                <w:b/>
                <w:lang w:val="en-US"/>
              </w:rPr>
              <w:t>3.</w:t>
            </w:r>
          </w:p>
        </w:tc>
        <w:tc>
          <w:tcPr>
            <w:tcW w:w="8325" w:type="dxa"/>
            <w:tcMar/>
          </w:tcPr>
          <w:p w:rsidRPr="004330B3" w:rsidR="00BD0FD1" w:rsidP="004B3806" w:rsidRDefault="00821CF7" w14:paraId="6FCBF5F8" w14:textId="77777777">
            <w:pPr>
              <w:jc w:val="both"/>
              <w:rPr>
                <w:rFonts w:ascii="Arial" w:hAnsi="Arial" w:eastAsia="Arial" w:cs="Arial"/>
                <w:b/>
                <w:lang w:val="en-US"/>
              </w:rPr>
            </w:pPr>
            <w:r>
              <w:rPr>
                <w:rFonts w:ascii="Arial" w:hAnsi="Arial" w:eastAsia="Arial" w:cs="Arial"/>
                <w:b/>
                <w:lang w:val="en-US"/>
              </w:rPr>
              <w:t>Background</w:t>
            </w:r>
          </w:p>
        </w:tc>
      </w:tr>
      <w:tr w:rsidRPr="004330B3" w:rsidR="00BD0FD1" w:rsidTr="551E4BB1" w14:paraId="26899D37" w14:textId="77777777">
        <w:tc>
          <w:tcPr>
            <w:tcW w:w="959" w:type="dxa"/>
            <w:tcMar/>
          </w:tcPr>
          <w:p w:rsidRPr="004330B3" w:rsidR="00BD0FD1" w:rsidP="004B3806" w:rsidRDefault="00BD0FD1" w14:paraId="14DF70F1" w14:textId="77777777">
            <w:pPr>
              <w:jc w:val="both"/>
              <w:rPr>
                <w:rFonts w:ascii="Arial" w:hAnsi="Arial" w:eastAsia="Arial" w:cs="Arial"/>
                <w:b/>
                <w:lang w:val="en-US"/>
              </w:rPr>
            </w:pPr>
          </w:p>
        </w:tc>
        <w:tc>
          <w:tcPr>
            <w:tcW w:w="8325" w:type="dxa"/>
            <w:tcMar/>
          </w:tcPr>
          <w:p w:rsidRPr="004330B3" w:rsidR="00BD0FD1" w:rsidP="004B3806" w:rsidRDefault="00BD0FD1" w14:paraId="5AFC9269" w14:textId="77777777">
            <w:pPr>
              <w:jc w:val="both"/>
              <w:rPr>
                <w:rFonts w:ascii="Arial" w:hAnsi="Arial" w:eastAsia="Arial" w:cs="Arial"/>
                <w:b/>
                <w:lang w:val="en-US"/>
              </w:rPr>
            </w:pPr>
          </w:p>
        </w:tc>
      </w:tr>
      <w:tr w:rsidRPr="004330B3" w:rsidR="00BD0FD1" w:rsidTr="551E4BB1" w14:paraId="3B26D5D6" w14:textId="77777777">
        <w:tc>
          <w:tcPr>
            <w:tcW w:w="959" w:type="dxa"/>
            <w:tcMar/>
          </w:tcPr>
          <w:p w:rsidR="00553399" w:rsidP="004B3806" w:rsidRDefault="00BD0FD1" w14:paraId="0860FD02" w14:textId="77777777">
            <w:pPr>
              <w:jc w:val="both"/>
              <w:rPr>
                <w:rFonts w:ascii="Arial" w:hAnsi="Arial" w:eastAsia="Arial" w:cs="Arial"/>
                <w:lang w:val="en-US"/>
              </w:rPr>
            </w:pPr>
            <w:r w:rsidRPr="00553399">
              <w:rPr>
                <w:rFonts w:ascii="Arial" w:hAnsi="Arial" w:eastAsia="Arial" w:cs="Arial"/>
                <w:lang w:val="en-US"/>
              </w:rPr>
              <w:t>3.1</w:t>
            </w:r>
          </w:p>
          <w:p w:rsidR="00553399" w:rsidP="004B3806" w:rsidRDefault="00553399" w14:paraId="0BD6E7C8" w14:textId="77777777">
            <w:pPr>
              <w:jc w:val="both"/>
              <w:rPr>
                <w:rFonts w:ascii="Arial" w:hAnsi="Arial" w:eastAsia="Arial" w:cs="Arial"/>
                <w:lang w:val="en-US"/>
              </w:rPr>
            </w:pPr>
          </w:p>
          <w:p w:rsidR="00553399" w:rsidP="004B3806" w:rsidRDefault="00553399" w14:paraId="4E86A405" w14:textId="77777777">
            <w:pPr>
              <w:jc w:val="both"/>
              <w:rPr>
                <w:rFonts w:ascii="Arial" w:hAnsi="Arial" w:eastAsia="Arial" w:cs="Arial"/>
                <w:lang w:val="en-US"/>
              </w:rPr>
            </w:pPr>
          </w:p>
          <w:p w:rsidR="00553399" w:rsidP="004B3806" w:rsidRDefault="00553399" w14:paraId="1E4F2EC8" w14:textId="77777777">
            <w:pPr>
              <w:jc w:val="both"/>
              <w:rPr>
                <w:rFonts w:ascii="Arial" w:hAnsi="Arial" w:eastAsia="Arial" w:cs="Arial"/>
                <w:lang w:val="en-US"/>
              </w:rPr>
            </w:pPr>
          </w:p>
          <w:p w:rsidR="00553399" w:rsidP="004B3806" w:rsidRDefault="00553399" w14:paraId="5EC275C3" w14:textId="77777777">
            <w:pPr>
              <w:jc w:val="both"/>
              <w:rPr>
                <w:rFonts w:ascii="Arial" w:hAnsi="Arial" w:eastAsia="Arial" w:cs="Arial"/>
                <w:lang w:val="en-US"/>
              </w:rPr>
            </w:pPr>
          </w:p>
          <w:p w:rsidR="00553399" w:rsidP="004B3806" w:rsidRDefault="00553399" w14:paraId="652CA223" w14:textId="77777777">
            <w:pPr>
              <w:jc w:val="both"/>
              <w:rPr>
                <w:rFonts w:ascii="Arial" w:hAnsi="Arial" w:eastAsia="Arial" w:cs="Arial"/>
                <w:lang w:val="en-US"/>
              </w:rPr>
            </w:pPr>
            <w:r>
              <w:rPr>
                <w:rFonts w:ascii="Arial" w:hAnsi="Arial" w:eastAsia="Arial" w:cs="Arial"/>
                <w:lang w:val="en-US"/>
              </w:rPr>
              <w:t>3.2</w:t>
            </w:r>
          </w:p>
          <w:p w:rsidR="006617FB" w:rsidP="004B3806" w:rsidRDefault="006617FB" w14:paraId="7C5512EB" w14:textId="77777777">
            <w:pPr>
              <w:jc w:val="both"/>
              <w:rPr>
                <w:rFonts w:ascii="Arial" w:hAnsi="Arial" w:eastAsia="Arial" w:cs="Arial"/>
                <w:lang w:val="en-US"/>
              </w:rPr>
            </w:pPr>
          </w:p>
          <w:p w:rsidR="00553399" w:rsidP="004B3806" w:rsidRDefault="00553399" w14:paraId="66C3CB63" w14:textId="77777777">
            <w:pPr>
              <w:jc w:val="both"/>
              <w:rPr>
                <w:rFonts w:ascii="Arial" w:hAnsi="Arial" w:eastAsia="Arial" w:cs="Arial"/>
                <w:lang w:val="en-US"/>
              </w:rPr>
            </w:pPr>
          </w:p>
          <w:p w:rsidR="00C01ED5" w:rsidP="004B3806" w:rsidRDefault="00C01ED5" w14:paraId="005E8549" w14:textId="77777777">
            <w:pPr>
              <w:jc w:val="both"/>
              <w:rPr>
                <w:rFonts w:ascii="Arial" w:hAnsi="Arial" w:eastAsia="Arial" w:cs="Arial"/>
                <w:lang w:val="en-US"/>
              </w:rPr>
            </w:pPr>
          </w:p>
          <w:p w:rsidR="00821CF7" w:rsidP="004B3806" w:rsidRDefault="00821CF7" w14:paraId="452BFFB6" w14:textId="77777777">
            <w:pPr>
              <w:jc w:val="both"/>
              <w:rPr>
                <w:rFonts w:ascii="Arial" w:hAnsi="Arial" w:eastAsia="Arial" w:cs="Arial"/>
                <w:lang w:val="en-US"/>
              </w:rPr>
            </w:pPr>
          </w:p>
          <w:p w:rsidR="009F178E" w:rsidP="004B3806" w:rsidRDefault="009F178E" w14:paraId="43FDB9D1" w14:textId="77777777">
            <w:pPr>
              <w:jc w:val="both"/>
              <w:rPr>
                <w:rFonts w:ascii="Arial" w:hAnsi="Arial" w:eastAsia="Arial" w:cs="Arial"/>
                <w:lang w:val="en-US"/>
              </w:rPr>
            </w:pPr>
          </w:p>
          <w:p w:rsidR="001C714A" w:rsidP="004B3806" w:rsidRDefault="001C714A" w14:paraId="77CE60D6" w14:textId="77777777">
            <w:pPr>
              <w:jc w:val="both"/>
              <w:rPr>
                <w:rFonts w:ascii="Arial" w:hAnsi="Arial" w:eastAsia="Arial" w:cs="Arial"/>
                <w:lang w:val="en-US"/>
              </w:rPr>
            </w:pPr>
          </w:p>
          <w:p w:rsidR="00660917" w:rsidP="004B3806" w:rsidRDefault="00660917" w14:paraId="68D5F2AA" w14:textId="77777777">
            <w:pPr>
              <w:jc w:val="both"/>
              <w:rPr>
                <w:rFonts w:ascii="Arial" w:hAnsi="Arial" w:eastAsia="Arial" w:cs="Arial"/>
                <w:lang w:val="en-US"/>
              </w:rPr>
            </w:pPr>
          </w:p>
          <w:p w:rsidR="00553399" w:rsidP="004B3806" w:rsidRDefault="00553399" w14:paraId="38D1A4BB" w14:textId="2CC05051">
            <w:pPr>
              <w:jc w:val="both"/>
              <w:rPr>
                <w:rFonts w:ascii="Arial" w:hAnsi="Arial" w:eastAsia="Arial" w:cs="Arial"/>
                <w:lang w:val="en-US"/>
              </w:rPr>
            </w:pPr>
            <w:r>
              <w:rPr>
                <w:rFonts w:ascii="Arial" w:hAnsi="Arial" w:eastAsia="Arial" w:cs="Arial"/>
                <w:lang w:val="en-US"/>
              </w:rPr>
              <w:t>3.3</w:t>
            </w:r>
          </w:p>
          <w:p w:rsidR="007A1DE0" w:rsidP="004B3806" w:rsidRDefault="007A1DE0" w14:paraId="5DA96F80" w14:textId="77777777">
            <w:pPr>
              <w:jc w:val="both"/>
              <w:rPr>
                <w:rFonts w:ascii="Arial" w:hAnsi="Arial" w:eastAsia="Arial" w:cs="Arial"/>
                <w:lang w:val="en-US"/>
              </w:rPr>
            </w:pPr>
          </w:p>
          <w:p w:rsidR="007A1DE0" w:rsidP="004B3806" w:rsidRDefault="007A1DE0" w14:paraId="48276BF9" w14:textId="77777777">
            <w:pPr>
              <w:jc w:val="both"/>
              <w:rPr>
                <w:rFonts w:ascii="Arial" w:hAnsi="Arial" w:eastAsia="Arial" w:cs="Arial"/>
                <w:lang w:val="en-US"/>
              </w:rPr>
            </w:pPr>
          </w:p>
          <w:p w:rsidR="007A1DE0" w:rsidP="004B3806" w:rsidRDefault="007A1DE0" w14:paraId="2B660D92" w14:textId="77777777">
            <w:pPr>
              <w:jc w:val="both"/>
              <w:rPr>
                <w:rFonts w:ascii="Arial" w:hAnsi="Arial" w:eastAsia="Arial" w:cs="Arial"/>
                <w:lang w:val="en-US"/>
              </w:rPr>
            </w:pPr>
          </w:p>
          <w:p w:rsidR="007A1DE0" w:rsidP="004B3806" w:rsidRDefault="007A1DE0" w14:paraId="052352EA" w14:textId="77777777">
            <w:pPr>
              <w:jc w:val="both"/>
              <w:rPr>
                <w:rFonts w:ascii="Arial" w:hAnsi="Arial" w:eastAsia="Arial" w:cs="Arial"/>
                <w:lang w:val="en-US"/>
              </w:rPr>
            </w:pPr>
          </w:p>
          <w:p w:rsidR="00553399" w:rsidP="004B3806" w:rsidRDefault="00903D92" w14:paraId="6EAAE541" w14:textId="52CC6598">
            <w:pPr>
              <w:jc w:val="both"/>
              <w:rPr>
                <w:rFonts w:ascii="Arial" w:hAnsi="Arial" w:eastAsia="Arial" w:cs="Arial"/>
                <w:lang w:val="en-US"/>
              </w:rPr>
            </w:pPr>
            <w:r>
              <w:rPr>
                <w:rFonts w:ascii="Arial" w:hAnsi="Arial" w:eastAsia="Arial" w:cs="Arial"/>
                <w:lang w:val="en-US"/>
              </w:rPr>
              <w:t>3.</w:t>
            </w:r>
            <w:r w:rsidR="00BD4F9E">
              <w:rPr>
                <w:rFonts w:ascii="Arial" w:hAnsi="Arial" w:eastAsia="Arial" w:cs="Arial"/>
                <w:lang w:val="en-US"/>
              </w:rPr>
              <w:t>4</w:t>
            </w:r>
          </w:p>
          <w:p w:rsidR="00821CF7" w:rsidP="004B3806" w:rsidRDefault="00821CF7" w14:paraId="2D29E7B3" w14:textId="77777777">
            <w:pPr>
              <w:jc w:val="both"/>
              <w:rPr>
                <w:rFonts w:ascii="Arial" w:hAnsi="Arial" w:eastAsia="Arial" w:cs="Arial"/>
                <w:lang w:val="en-US"/>
              </w:rPr>
            </w:pPr>
          </w:p>
          <w:p w:rsidR="00821CF7" w:rsidP="004B3806" w:rsidRDefault="00821CF7" w14:paraId="3BAA85E2" w14:textId="77777777">
            <w:pPr>
              <w:jc w:val="both"/>
              <w:rPr>
                <w:rFonts w:ascii="Arial" w:hAnsi="Arial" w:eastAsia="Arial" w:cs="Arial"/>
                <w:lang w:val="en-US"/>
              </w:rPr>
            </w:pPr>
          </w:p>
          <w:p w:rsidR="00821CF7" w:rsidP="004B3806" w:rsidRDefault="00821CF7" w14:paraId="17DF105C" w14:textId="77777777">
            <w:pPr>
              <w:jc w:val="both"/>
              <w:rPr>
                <w:rFonts w:ascii="Arial" w:hAnsi="Arial" w:eastAsia="Arial" w:cs="Arial"/>
                <w:lang w:val="en-US"/>
              </w:rPr>
            </w:pPr>
          </w:p>
          <w:p w:rsidR="00821CF7" w:rsidP="004B3806" w:rsidRDefault="00821CF7" w14:paraId="63836A6B" w14:textId="77777777">
            <w:pPr>
              <w:jc w:val="both"/>
              <w:rPr>
                <w:rFonts w:ascii="Arial" w:hAnsi="Arial" w:eastAsia="Arial" w:cs="Arial"/>
                <w:lang w:val="en-US"/>
              </w:rPr>
            </w:pPr>
          </w:p>
          <w:p w:rsidR="00821CF7" w:rsidP="004B3806" w:rsidRDefault="00821CF7" w14:paraId="43967246" w14:textId="71D320F3">
            <w:pPr>
              <w:jc w:val="both"/>
              <w:rPr>
                <w:rFonts w:ascii="Arial" w:hAnsi="Arial" w:eastAsia="Arial" w:cs="Arial"/>
                <w:lang w:val="en-US"/>
              </w:rPr>
            </w:pPr>
            <w:r>
              <w:rPr>
                <w:rFonts w:ascii="Arial" w:hAnsi="Arial" w:eastAsia="Arial" w:cs="Arial"/>
                <w:lang w:val="en-US"/>
              </w:rPr>
              <w:t>3.</w:t>
            </w:r>
            <w:r w:rsidR="00BD4F9E">
              <w:rPr>
                <w:rFonts w:ascii="Arial" w:hAnsi="Arial" w:eastAsia="Arial" w:cs="Arial"/>
                <w:lang w:val="en-US"/>
              </w:rPr>
              <w:t>5</w:t>
            </w:r>
          </w:p>
          <w:p w:rsidR="009F178E" w:rsidP="004B3806" w:rsidRDefault="009F178E" w14:paraId="7DAAB461" w14:textId="77777777">
            <w:pPr>
              <w:jc w:val="both"/>
              <w:rPr>
                <w:rFonts w:ascii="Arial" w:hAnsi="Arial" w:eastAsia="Arial" w:cs="Arial"/>
                <w:lang w:val="en-US"/>
              </w:rPr>
            </w:pPr>
          </w:p>
          <w:p w:rsidR="009F178E" w:rsidP="004B3806" w:rsidRDefault="009F178E" w14:paraId="18D6DBFC" w14:textId="77777777">
            <w:pPr>
              <w:jc w:val="both"/>
              <w:rPr>
                <w:rFonts w:ascii="Arial" w:hAnsi="Arial" w:eastAsia="Arial" w:cs="Arial"/>
                <w:lang w:val="en-US"/>
              </w:rPr>
            </w:pPr>
          </w:p>
          <w:p w:rsidR="00BD4F9E" w:rsidP="004B3806" w:rsidRDefault="00BD4F9E" w14:paraId="482A98DF" w14:textId="77777777">
            <w:pPr>
              <w:jc w:val="both"/>
              <w:rPr>
                <w:rFonts w:ascii="Arial" w:hAnsi="Arial" w:eastAsia="Arial" w:cs="Arial"/>
                <w:lang w:val="en-US"/>
              </w:rPr>
            </w:pPr>
          </w:p>
          <w:p w:rsidR="009F178E" w:rsidP="004B3806" w:rsidRDefault="009F178E" w14:paraId="113EB1EA" w14:textId="21AEE0B8">
            <w:pPr>
              <w:jc w:val="both"/>
              <w:rPr>
                <w:rFonts w:ascii="Arial" w:hAnsi="Arial" w:eastAsia="Arial" w:cs="Arial"/>
                <w:lang w:val="en-US"/>
              </w:rPr>
            </w:pPr>
          </w:p>
          <w:p w:rsidR="00BD4F9E" w:rsidP="004B3806" w:rsidRDefault="00BD4F9E" w14:paraId="6A29D833" w14:textId="77777777">
            <w:pPr>
              <w:jc w:val="both"/>
              <w:rPr>
                <w:rFonts w:ascii="Arial" w:hAnsi="Arial" w:eastAsia="Arial" w:cs="Arial"/>
                <w:lang w:val="en-US"/>
              </w:rPr>
            </w:pPr>
          </w:p>
          <w:p w:rsidRPr="00553399" w:rsidR="00BD4F9E" w:rsidP="004B3806" w:rsidRDefault="00BD4F9E" w14:paraId="5E293A62" w14:textId="312264FF">
            <w:pPr>
              <w:jc w:val="both"/>
              <w:rPr>
                <w:rFonts w:ascii="Arial" w:hAnsi="Arial" w:eastAsia="Arial" w:cs="Arial"/>
                <w:lang w:val="en-US"/>
              </w:rPr>
            </w:pPr>
          </w:p>
        </w:tc>
        <w:tc>
          <w:tcPr>
            <w:tcW w:w="8325" w:type="dxa"/>
            <w:tcMar/>
          </w:tcPr>
          <w:p w:rsidR="006D1C44" w:rsidP="551E4BB1" w:rsidRDefault="00347EE2" w14:paraId="6EB1A328" w14:textId="77777777" w14:noSpellErr="1">
            <w:pPr>
              <w:jc w:val="both"/>
              <w:rPr>
                <w:rFonts w:ascii="Arial" w:hAnsi="Arial" w:cs="Arial"/>
                <w:lang w:val="en-US"/>
              </w:rPr>
            </w:pPr>
            <w:r w:rsidRPr="551E4BB1" w:rsidR="00347EE2">
              <w:rPr>
                <w:rFonts w:ascii="Arial" w:hAnsi="Arial" w:cs="Arial"/>
                <w:lang w:val="en-US"/>
              </w:rPr>
              <w:t xml:space="preserve">A </w:t>
            </w:r>
            <w:r w:rsidRPr="551E4BB1" w:rsidR="00347EE2">
              <w:rPr>
                <w:rStyle w:val="Strong"/>
                <w:rFonts w:ascii="Arial" w:hAnsi="Arial" w:cs="Arial"/>
                <w:b w:val="0"/>
                <w:bCs w:val="0"/>
                <w:lang w:val="en-US"/>
              </w:rPr>
              <w:t>Domestic</w:t>
            </w:r>
            <w:r w:rsidRPr="551E4BB1" w:rsidR="00347EE2">
              <w:rPr>
                <w:rFonts w:ascii="Arial" w:hAnsi="Arial" w:cs="Arial"/>
                <w:b w:val="1"/>
                <w:bCs w:val="1"/>
                <w:lang w:val="en-US"/>
              </w:rPr>
              <w:t xml:space="preserve"> </w:t>
            </w:r>
            <w:r w:rsidRPr="551E4BB1" w:rsidR="00347EE2">
              <w:rPr>
                <w:rStyle w:val="Strong"/>
                <w:rFonts w:ascii="Arial" w:hAnsi="Arial" w:cs="Arial"/>
                <w:b w:val="0"/>
                <w:bCs w:val="0"/>
                <w:lang w:val="en-US"/>
              </w:rPr>
              <w:t>Homicide</w:t>
            </w:r>
            <w:r w:rsidRPr="551E4BB1" w:rsidR="00347EE2">
              <w:rPr>
                <w:rFonts w:ascii="Arial" w:hAnsi="Arial" w:cs="Arial"/>
                <w:b w:val="1"/>
                <w:bCs w:val="1"/>
                <w:lang w:val="en-US"/>
              </w:rPr>
              <w:t xml:space="preserve"> </w:t>
            </w:r>
            <w:r w:rsidRPr="551E4BB1" w:rsidR="00347EE2">
              <w:rPr>
                <w:rStyle w:val="Strong"/>
                <w:rFonts w:ascii="Arial" w:hAnsi="Arial" w:cs="Arial"/>
                <w:b w:val="0"/>
                <w:bCs w:val="0"/>
                <w:lang w:val="en-US"/>
              </w:rPr>
              <w:t>Review</w:t>
            </w:r>
            <w:r w:rsidRPr="551E4BB1" w:rsidR="00347EE2">
              <w:rPr>
                <w:rFonts w:ascii="Arial" w:hAnsi="Arial" w:cs="Arial"/>
                <w:b w:val="1"/>
                <w:bCs w:val="1"/>
                <w:lang w:val="en-US"/>
              </w:rPr>
              <w:t xml:space="preserve"> </w:t>
            </w:r>
            <w:r w:rsidRPr="551E4BB1" w:rsidR="00347EE2">
              <w:rPr>
                <w:rFonts w:ascii="Arial" w:hAnsi="Arial" w:cs="Arial"/>
                <w:lang w:val="en-US"/>
              </w:rPr>
              <w:t>(DHR) is a locally conducted multi-agency</w:t>
            </w:r>
            <w:r w:rsidRPr="551E4BB1" w:rsidR="00347EE2">
              <w:rPr>
                <w:rFonts w:ascii="Arial" w:hAnsi="Arial" w:cs="Arial"/>
                <w:b w:val="1"/>
                <w:bCs w:val="1"/>
                <w:lang w:val="en-US"/>
              </w:rPr>
              <w:t xml:space="preserve"> </w:t>
            </w:r>
            <w:r w:rsidRPr="551E4BB1" w:rsidR="00347EE2">
              <w:rPr>
                <w:rStyle w:val="Strong"/>
                <w:rFonts w:ascii="Arial" w:hAnsi="Arial" w:cs="Arial"/>
                <w:b w:val="0"/>
                <w:bCs w:val="0"/>
                <w:lang w:val="en-US"/>
              </w:rPr>
              <w:t>review</w:t>
            </w:r>
            <w:r w:rsidRPr="551E4BB1" w:rsidR="00347EE2">
              <w:rPr>
                <w:rFonts w:ascii="Arial" w:hAnsi="Arial" w:cs="Arial"/>
                <w:lang w:val="en-US"/>
              </w:rPr>
              <w:t xml:space="preserve"> of the circumstances in which the death of a person aged 16 or over has, or appears to have, resulted from violence, abuse or neglect by: a member of the same household as himself or herself.</w:t>
            </w:r>
          </w:p>
          <w:p w:rsidRPr="00347EE2" w:rsidR="00347EE2" w:rsidP="004B3806" w:rsidRDefault="00347EE2" w14:paraId="2FCD2267" w14:textId="77777777">
            <w:pPr>
              <w:jc w:val="both"/>
              <w:rPr>
                <w:rFonts w:ascii="Arial" w:hAnsi="Arial" w:eastAsia="Arial" w:cs="Arial"/>
                <w:lang w:val="en-US"/>
              </w:rPr>
            </w:pPr>
          </w:p>
          <w:p w:rsidR="00BD4F9E" w:rsidP="004B3806" w:rsidRDefault="009F178E" w14:paraId="4B9A2270" w14:textId="62BAC35F">
            <w:pPr>
              <w:jc w:val="both"/>
              <w:rPr>
                <w:rFonts w:ascii="Arial" w:hAnsi="Arial" w:cs="Arial"/>
              </w:rPr>
            </w:pPr>
            <w:r>
              <w:rPr>
                <w:rFonts w:ascii="Arial" w:hAnsi="Arial" w:cs="Arial"/>
              </w:rPr>
              <w:t>DHR’s are a statutory requirement by the Home Office</w:t>
            </w:r>
            <w:r w:rsidR="00CD1298">
              <w:rPr>
                <w:rFonts w:ascii="Arial" w:hAnsi="Arial" w:cs="Arial"/>
              </w:rPr>
              <w:t xml:space="preserve"> and remain the statutory responsibility of Community Safety Partnerships across England and Wales. </w:t>
            </w:r>
            <w:r w:rsidR="00BD4F9E">
              <w:rPr>
                <w:rFonts w:ascii="Arial" w:hAnsi="Arial" w:cs="Arial"/>
              </w:rPr>
              <w:t>Traditionally, the cost of the DHR process has been borne by the CSP within the Local Authority area where the review is taking place, usually by the statutory members of that board responsible for community safety. They are Local Authority, Police, Health Authority, Probation services</w:t>
            </w:r>
            <w:r w:rsidR="000A6528">
              <w:rPr>
                <w:rFonts w:ascii="Arial" w:hAnsi="Arial" w:cs="Arial"/>
              </w:rPr>
              <w:t xml:space="preserve"> and South Wales Fire and Rescue service</w:t>
            </w:r>
            <w:r w:rsidR="00BD4F9E">
              <w:rPr>
                <w:rFonts w:ascii="Arial" w:hAnsi="Arial" w:cs="Arial"/>
              </w:rPr>
              <w:t>.</w:t>
            </w:r>
          </w:p>
          <w:p w:rsidR="00BD4F9E" w:rsidP="004B3806" w:rsidRDefault="00BD4F9E" w14:paraId="581194E3" w14:textId="77777777">
            <w:pPr>
              <w:jc w:val="both"/>
              <w:rPr>
                <w:rFonts w:ascii="Arial" w:hAnsi="Arial" w:cs="Arial"/>
              </w:rPr>
            </w:pPr>
          </w:p>
          <w:p w:rsidR="00BD4F9E" w:rsidP="004B3806" w:rsidRDefault="00BD4F9E" w14:paraId="61294C0A" w14:textId="5C5E519E">
            <w:pPr>
              <w:jc w:val="both"/>
              <w:rPr>
                <w:rFonts w:ascii="Arial" w:hAnsi="Arial" w:cs="Arial"/>
              </w:rPr>
            </w:pPr>
            <w:r>
              <w:rPr>
                <w:rFonts w:ascii="Arial" w:hAnsi="Arial" w:cs="Arial"/>
              </w:rPr>
              <w:t>DHRs to date have been commissioned out to external independent chairs and authors and the average cost of a DHR is c. £1</w:t>
            </w:r>
            <w:r w:rsidR="000A6528">
              <w:rPr>
                <w:rFonts w:ascii="Arial" w:hAnsi="Arial" w:cs="Arial"/>
              </w:rPr>
              <w:t>3</w:t>
            </w:r>
            <w:r>
              <w:rPr>
                <w:rFonts w:ascii="Arial" w:hAnsi="Arial" w:cs="Arial"/>
              </w:rPr>
              <w:t xml:space="preserve">,000.  </w:t>
            </w:r>
            <w:r w:rsidRPr="00821CF7">
              <w:rPr>
                <w:rFonts w:ascii="Arial" w:hAnsi="Arial" w:cs="Arial"/>
              </w:rPr>
              <w:t>DHR Panel meetings are resourced by multi-agency representatives but chaired by the external author.</w:t>
            </w:r>
          </w:p>
          <w:p w:rsidRPr="00CD1298" w:rsidR="00BD4F9E" w:rsidP="004B3806" w:rsidRDefault="00BD4F9E" w14:paraId="474560AA" w14:textId="77777777">
            <w:pPr>
              <w:jc w:val="both"/>
              <w:rPr>
                <w:rFonts w:ascii="Arial" w:hAnsi="Arial" w:cs="Arial"/>
              </w:rPr>
            </w:pPr>
          </w:p>
          <w:p w:rsidR="00BD4F9E" w:rsidP="004B3806" w:rsidRDefault="00BD4F9E" w14:paraId="64EF9021" w14:textId="77777777">
            <w:pPr>
              <w:jc w:val="both"/>
              <w:rPr>
                <w:rFonts w:ascii="Arial" w:hAnsi="Arial" w:cs="Arial"/>
              </w:rPr>
            </w:pPr>
            <w:r>
              <w:rPr>
                <w:rFonts w:ascii="Arial" w:hAnsi="Arial" w:cs="Arial"/>
              </w:rPr>
              <w:t>F</w:t>
            </w:r>
            <w:r w:rsidRPr="00CD1298">
              <w:rPr>
                <w:rFonts w:ascii="Arial" w:hAnsi="Arial" w:cs="Arial"/>
              </w:rPr>
              <w:t>rom 1</w:t>
            </w:r>
            <w:r w:rsidRPr="00CD1298">
              <w:rPr>
                <w:rFonts w:ascii="Arial" w:hAnsi="Arial" w:cs="Arial"/>
                <w:vertAlign w:val="superscript"/>
              </w:rPr>
              <w:t>st</w:t>
            </w:r>
            <w:r w:rsidRPr="00CD1298">
              <w:rPr>
                <w:rFonts w:ascii="Arial" w:hAnsi="Arial" w:cs="Arial"/>
              </w:rPr>
              <w:t xml:space="preserve"> October 2024, S</w:t>
            </w:r>
            <w:r>
              <w:rPr>
                <w:rFonts w:ascii="Arial" w:hAnsi="Arial" w:cs="Arial"/>
              </w:rPr>
              <w:t>ingle Unified Safeguarding Reviews</w:t>
            </w:r>
            <w:r w:rsidRPr="00CD1298">
              <w:rPr>
                <w:rFonts w:ascii="Arial" w:hAnsi="Arial" w:cs="Arial"/>
              </w:rPr>
              <w:t xml:space="preserve"> w</w:t>
            </w:r>
            <w:r>
              <w:rPr>
                <w:rFonts w:ascii="Arial" w:hAnsi="Arial" w:cs="Arial"/>
              </w:rPr>
              <w:t>ere</w:t>
            </w:r>
            <w:r w:rsidRPr="00CD1298">
              <w:rPr>
                <w:rFonts w:ascii="Arial" w:hAnsi="Arial" w:cs="Arial"/>
              </w:rPr>
              <w:t xml:space="preserve"> implemented in Wales, creating a single review process for Adult Practice Reviews, Child Practice Reviews, Domestic Homicide Reviews, Mental Health Homicide Reviews and Offensive Weapons Homicide Reviews.</w:t>
            </w:r>
          </w:p>
          <w:p w:rsidR="00BD4F9E" w:rsidP="004B3806" w:rsidRDefault="00BD4F9E" w14:paraId="7BE51EDA" w14:textId="77777777">
            <w:pPr>
              <w:jc w:val="both"/>
              <w:rPr>
                <w:rFonts w:ascii="Arial" w:hAnsi="Arial" w:cs="Arial"/>
              </w:rPr>
            </w:pPr>
          </w:p>
          <w:p w:rsidRPr="00BD4F9E" w:rsidR="00E46D69" w:rsidP="004B3806" w:rsidRDefault="00BD4F9E" w14:paraId="5DB9C77C" w14:textId="43E7A669">
            <w:pPr>
              <w:jc w:val="both"/>
              <w:rPr>
                <w:rFonts w:ascii="Arial" w:hAnsi="Arial" w:cs="Arial"/>
              </w:rPr>
            </w:pPr>
            <w:r w:rsidRPr="00CD1298">
              <w:rPr>
                <w:rFonts w:ascii="Arial" w:hAnsi="Arial" w:cs="Arial"/>
              </w:rPr>
              <w:t xml:space="preserve">The </w:t>
            </w:r>
            <w:hyperlink w:history="1" r:id="rId12">
              <w:r w:rsidRPr="00CD1298">
                <w:rPr>
                  <w:rStyle w:val="Hyperlink"/>
                  <w:rFonts w:ascii="Arial" w:hAnsi="Arial" w:cs="Arial"/>
                </w:rPr>
                <w:t>Single Unified Safeguarding Review (SUSR): statutory guidance</w:t>
              </w:r>
            </w:hyperlink>
            <w:r w:rsidRPr="00CD1298">
              <w:rPr>
                <w:rFonts w:ascii="Arial" w:hAnsi="Arial" w:cs="Arial"/>
              </w:rPr>
              <w:t xml:space="preserve"> sets out the SUSR process and provides specific direction when the </w:t>
            </w:r>
            <w:bookmarkStart w:name="_Hlk183426036" w:id="1"/>
            <w:r w:rsidRPr="00CD1298">
              <w:rPr>
                <w:rFonts w:ascii="Arial" w:hAnsi="Arial" w:cs="Arial"/>
              </w:rPr>
              <w:t>review relates to a domestic homicide</w:t>
            </w:r>
            <w:bookmarkEnd w:id="1"/>
            <w:r w:rsidRPr="00CD1298">
              <w:rPr>
                <w:rFonts w:ascii="Arial" w:hAnsi="Arial" w:cs="Arial"/>
              </w:rPr>
              <w:t xml:space="preserve">.  As the statutory responsibility for Domestic Homicide Reviews (DHR) remains with the respective Community Safety Partnerships (CSPs) under section 9(3) of the Domestic Violence, Crime and </w:t>
            </w:r>
            <w:r w:rsidRPr="00CD1298">
              <w:rPr>
                <w:rFonts w:ascii="Arial" w:hAnsi="Arial" w:cs="Arial"/>
              </w:rPr>
              <w:lastRenderedPageBreak/>
              <w:t>Victims Act, 2004, the guidance outlines the specific roles of partnerships in such circumstances.</w:t>
            </w:r>
          </w:p>
        </w:tc>
      </w:tr>
      <w:tr w:rsidRPr="004330B3" w:rsidR="00BD0FD1" w:rsidTr="551E4BB1" w14:paraId="677210AA" w14:textId="77777777">
        <w:tc>
          <w:tcPr>
            <w:tcW w:w="959" w:type="dxa"/>
            <w:tcMar/>
          </w:tcPr>
          <w:p w:rsidRPr="004330B3" w:rsidR="00BD0FD1" w:rsidP="004B3806" w:rsidRDefault="00BD0FD1" w14:paraId="5BE63AE6" w14:textId="77777777">
            <w:pPr>
              <w:jc w:val="both"/>
              <w:rPr>
                <w:rFonts w:ascii="Arial" w:hAnsi="Arial" w:eastAsia="Arial" w:cs="Arial"/>
                <w:b/>
                <w:lang w:val="en-US"/>
              </w:rPr>
            </w:pPr>
          </w:p>
        </w:tc>
        <w:tc>
          <w:tcPr>
            <w:tcW w:w="8325" w:type="dxa"/>
            <w:tcMar/>
          </w:tcPr>
          <w:p w:rsidRPr="004330B3" w:rsidR="00BD0FD1" w:rsidP="004B3806" w:rsidRDefault="00BD0FD1" w14:paraId="2A6E6053" w14:textId="77777777">
            <w:pPr>
              <w:jc w:val="both"/>
              <w:rPr>
                <w:rFonts w:ascii="Arial" w:hAnsi="Arial" w:eastAsia="Arial" w:cs="Arial"/>
                <w:b/>
                <w:lang w:val="en-US"/>
              </w:rPr>
            </w:pPr>
          </w:p>
        </w:tc>
      </w:tr>
      <w:tr w:rsidRPr="004330B3" w:rsidR="00BD0FD1" w:rsidTr="551E4BB1" w14:paraId="35CE9907" w14:textId="77777777">
        <w:tc>
          <w:tcPr>
            <w:tcW w:w="959" w:type="dxa"/>
            <w:tcMar/>
          </w:tcPr>
          <w:p w:rsidRPr="000C336A" w:rsidR="00BD0FD1" w:rsidP="004B3806" w:rsidRDefault="00BD0FD1" w14:paraId="1DF632A9" w14:textId="77777777">
            <w:pPr>
              <w:jc w:val="both"/>
              <w:rPr>
                <w:rFonts w:ascii="Arial" w:hAnsi="Arial" w:eastAsia="Arial" w:cs="Arial"/>
                <w:b/>
                <w:lang w:val="en-US"/>
              </w:rPr>
            </w:pPr>
            <w:r>
              <w:rPr>
                <w:rFonts w:ascii="Arial" w:hAnsi="Arial" w:eastAsia="Arial" w:cs="Arial"/>
                <w:b/>
                <w:lang w:val="en-US"/>
              </w:rPr>
              <w:t>4</w:t>
            </w:r>
            <w:r w:rsidRPr="000C336A">
              <w:rPr>
                <w:rFonts w:ascii="Arial" w:hAnsi="Arial" w:eastAsia="Arial" w:cs="Arial"/>
                <w:b/>
                <w:lang w:val="en-US"/>
              </w:rPr>
              <w:t>.</w:t>
            </w:r>
          </w:p>
        </w:tc>
        <w:tc>
          <w:tcPr>
            <w:tcW w:w="8325" w:type="dxa"/>
            <w:tcMar/>
          </w:tcPr>
          <w:p w:rsidRPr="000C336A" w:rsidR="00BD0FD1" w:rsidP="004B3806" w:rsidRDefault="00CD2143" w14:paraId="09023C43" w14:textId="3770DFED">
            <w:pPr>
              <w:jc w:val="both"/>
              <w:rPr>
                <w:rFonts w:ascii="Arial" w:hAnsi="Arial" w:eastAsia="Arial" w:cs="Arial"/>
                <w:b/>
                <w:lang w:val="en-US"/>
              </w:rPr>
            </w:pPr>
            <w:r>
              <w:rPr>
                <w:rFonts w:ascii="Arial" w:hAnsi="Arial" w:eastAsia="Arial" w:cs="Arial"/>
                <w:b/>
                <w:lang w:val="en-US"/>
              </w:rPr>
              <w:t>Funding</w:t>
            </w:r>
          </w:p>
        </w:tc>
      </w:tr>
      <w:tr w:rsidRPr="004330B3" w:rsidR="00BD0FD1" w:rsidTr="551E4BB1" w14:paraId="3FA7CDD8" w14:textId="77777777">
        <w:tc>
          <w:tcPr>
            <w:tcW w:w="959" w:type="dxa"/>
            <w:tcMar/>
          </w:tcPr>
          <w:p w:rsidRPr="004330B3" w:rsidR="00BD0FD1" w:rsidP="004B3806" w:rsidRDefault="00BD0FD1" w14:paraId="51D16E58" w14:textId="77777777">
            <w:pPr>
              <w:jc w:val="both"/>
              <w:rPr>
                <w:rFonts w:ascii="Arial" w:hAnsi="Arial" w:eastAsia="Arial" w:cs="Arial"/>
                <w:lang w:val="en-US"/>
              </w:rPr>
            </w:pPr>
          </w:p>
        </w:tc>
        <w:tc>
          <w:tcPr>
            <w:tcW w:w="8325" w:type="dxa"/>
            <w:tcMar/>
          </w:tcPr>
          <w:p w:rsidRPr="004330B3" w:rsidR="00BD0FD1" w:rsidP="004B3806" w:rsidRDefault="00BD0FD1" w14:paraId="6A8306C6" w14:textId="77777777">
            <w:pPr>
              <w:jc w:val="both"/>
              <w:rPr>
                <w:rFonts w:ascii="Arial" w:hAnsi="Arial" w:eastAsia="Arial" w:cs="Arial"/>
                <w:lang w:val="en-US"/>
              </w:rPr>
            </w:pPr>
          </w:p>
        </w:tc>
      </w:tr>
      <w:tr w:rsidRPr="004330B3" w:rsidR="00BD0FD1" w:rsidTr="551E4BB1" w14:paraId="71BE069D" w14:textId="77777777">
        <w:tc>
          <w:tcPr>
            <w:tcW w:w="959" w:type="dxa"/>
            <w:tcMar/>
          </w:tcPr>
          <w:p w:rsidR="00903D92" w:rsidP="004B3806" w:rsidRDefault="00BD0FD1" w14:paraId="2390B13C" w14:textId="77777777">
            <w:pPr>
              <w:jc w:val="both"/>
              <w:rPr>
                <w:rFonts w:ascii="Arial" w:hAnsi="Arial" w:eastAsia="Arial" w:cs="Arial"/>
                <w:lang w:val="en-US"/>
              </w:rPr>
            </w:pPr>
            <w:r>
              <w:rPr>
                <w:rFonts w:ascii="Arial" w:hAnsi="Arial" w:eastAsia="Arial" w:cs="Arial"/>
                <w:lang w:val="en-US"/>
              </w:rPr>
              <w:t>4</w:t>
            </w:r>
            <w:r w:rsidRPr="004330B3">
              <w:rPr>
                <w:rFonts w:ascii="Arial" w:hAnsi="Arial" w:eastAsia="Arial" w:cs="Arial"/>
                <w:lang w:val="en-US"/>
              </w:rPr>
              <w:t>.1</w:t>
            </w:r>
          </w:p>
          <w:p w:rsidR="00B64F95" w:rsidP="004B3806" w:rsidRDefault="00B64F95" w14:paraId="00EC1581" w14:textId="77777777">
            <w:pPr>
              <w:jc w:val="both"/>
              <w:rPr>
                <w:rFonts w:ascii="Arial" w:hAnsi="Arial" w:eastAsia="Arial" w:cs="Arial"/>
                <w:lang w:val="en-US"/>
              </w:rPr>
            </w:pPr>
          </w:p>
          <w:p w:rsidR="00B64F95" w:rsidP="004B3806" w:rsidRDefault="00B64F95" w14:paraId="7C01AD02" w14:textId="77777777">
            <w:pPr>
              <w:jc w:val="both"/>
              <w:rPr>
                <w:rFonts w:ascii="Arial" w:hAnsi="Arial" w:eastAsia="Arial" w:cs="Arial"/>
                <w:lang w:val="en-US"/>
              </w:rPr>
            </w:pPr>
          </w:p>
          <w:p w:rsidR="00B64F95" w:rsidP="004B3806" w:rsidRDefault="00B64F95" w14:paraId="675719F0" w14:textId="77777777">
            <w:pPr>
              <w:jc w:val="both"/>
              <w:rPr>
                <w:rFonts w:ascii="Arial" w:hAnsi="Arial" w:eastAsia="Arial" w:cs="Arial"/>
                <w:lang w:val="en-US"/>
              </w:rPr>
            </w:pPr>
          </w:p>
          <w:p w:rsidR="00B64F95" w:rsidP="004B3806" w:rsidRDefault="00B64F95" w14:paraId="138B0D71" w14:textId="77777777">
            <w:pPr>
              <w:jc w:val="both"/>
              <w:rPr>
                <w:rFonts w:ascii="Arial" w:hAnsi="Arial" w:eastAsia="Arial" w:cs="Arial"/>
                <w:lang w:val="en-US"/>
              </w:rPr>
            </w:pPr>
          </w:p>
          <w:p w:rsidR="00B64F95" w:rsidP="004B3806" w:rsidRDefault="00B64F95" w14:paraId="588F6830" w14:textId="77777777">
            <w:pPr>
              <w:jc w:val="both"/>
              <w:rPr>
                <w:rFonts w:ascii="Arial" w:hAnsi="Arial" w:eastAsia="Arial" w:cs="Arial"/>
                <w:lang w:val="en-US"/>
              </w:rPr>
            </w:pPr>
          </w:p>
          <w:p w:rsidR="00BD4F9E" w:rsidP="004B3806" w:rsidRDefault="00BD4F9E" w14:paraId="459BF554" w14:textId="77777777">
            <w:pPr>
              <w:jc w:val="both"/>
              <w:rPr>
                <w:rFonts w:ascii="Arial" w:hAnsi="Arial" w:eastAsia="Arial" w:cs="Arial"/>
                <w:lang w:val="en-US"/>
              </w:rPr>
            </w:pPr>
          </w:p>
          <w:p w:rsidR="00BD4F9E" w:rsidP="004B3806" w:rsidRDefault="00BD4F9E" w14:paraId="4FC847AE" w14:textId="77777777">
            <w:pPr>
              <w:jc w:val="both"/>
              <w:rPr>
                <w:rFonts w:ascii="Arial" w:hAnsi="Arial" w:eastAsia="Arial" w:cs="Arial"/>
                <w:lang w:val="en-US"/>
              </w:rPr>
            </w:pPr>
          </w:p>
          <w:p w:rsidR="00BD4F9E" w:rsidP="004B3806" w:rsidRDefault="00BD4F9E" w14:paraId="38A4210D" w14:textId="77777777">
            <w:pPr>
              <w:jc w:val="both"/>
              <w:rPr>
                <w:rFonts w:ascii="Arial" w:hAnsi="Arial" w:eastAsia="Arial" w:cs="Arial"/>
                <w:lang w:val="en-US"/>
              </w:rPr>
            </w:pPr>
          </w:p>
          <w:p w:rsidR="008E49F7" w:rsidP="004B3806" w:rsidRDefault="008E49F7" w14:paraId="5AC36F9F" w14:textId="77777777">
            <w:pPr>
              <w:jc w:val="both"/>
              <w:rPr>
                <w:rFonts w:ascii="Arial" w:hAnsi="Arial" w:eastAsia="Arial" w:cs="Arial"/>
                <w:lang w:val="en-US"/>
              </w:rPr>
            </w:pPr>
          </w:p>
          <w:p w:rsidR="00B64F95" w:rsidP="004B3806" w:rsidRDefault="00B64F95" w14:paraId="109CE5DD" w14:textId="69CC3969">
            <w:pPr>
              <w:jc w:val="both"/>
              <w:rPr>
                <w:rFonts w:ascii="Arial" w:hAnsi="Arial" w:eastAsia="Arial" w:cs="Arial"/>
                <w:lang w:val="en-US"/>
              </w:rPr>
            </w:pPr>
            <w:r>
              <w:rPr>
                <w:rFonts w:ascii="Arial" w:hAnsi="Arial" w:eastAsia="Arial" w:cs="Arial"/>
                <w:lang w:val="en-US"/>
              </w:rPr>
              <w:t>4.2</w:t>
            </w:r>
          </w:p>
          <w:p w:rsidR="00B71714" w:rsidP="004B3806" w:rsidRDefault="00B71714" w14:paraId="6E2AFC64" w14:textId="77777777">
            <w:pPr>
              <w:jc w:val="both"/>
              <w:rPr>
                <w:rFonts w:ascii="Arial" w:hAnsi="Arial" w:eastAsia="Arial" w:cs="Arial"/>
                <w:lang w:val="en-US"/>
              </w:rPr>
            </w:pPr>
          </w:p>
          <w:p w:rsidR="00B71714" w:rsidP="004B3806" w:rsidRDefault="00B71714" w14:paraId="02216F82" w14:textId="77777777">
            <w:pPr>
              <w:jc w:val="both"/>
              <w:rPr>
                <w:rFonts w:ascii="Arial" w:hAnsi="Arial" w:eastAsia="Arial" w:cs="Arial"/>
                <w:lang w:val="en-US"/>
              </w:rPr>
            </w:pPr>
          </w:p>
          <w:p w:rsidR="00B71714" w:rsidP="004B3806" w:rsidRDefault="00B71714" w14:paraId="57BF8659" w14:textId="77777777">
            <w:pPr>
              <w:jc w:val="both"/>
              <w:rPr>
                <w:rFonts w:ascii="Arial" w:hAnsi="Arial" w:eastAsia="Arial" w:cs="Arial"/>
                <w:lang w:val="en-US"/>
              </w:rPr>
            </w:pPr>
          </w:p>
          <w:p w:rsidR="00B71714" w:rsidP="004B3806" w:rsidRDefault="00B71714" w14:paraId="6991E00B" w14:textId="77777777">
            <w:pPr>
              <w:jc w:val="both"/>
              <w:rPr>
                <w:rFonts w:ascii="Arial" w:hAnsi="Arial" w:eastAsia="Arial" w:cs="Arial"/>
                <w:lang w:val="en-US"/>
              </w:rPr>
            </w:pPr>
          </w:p>
          <w:p w:rsidR="00B71714" w:rsidP="004B3806" w:rsidRDefault="00B71714" w14:paraId="1C4D036E" w14:textId="77777777">
            <w:pPr>
              <w:jc w:val="both"/>
              <w:rPr>
                <w:rFonts w:ascii="Arial" w:hAnsi="Arial" w:eastAsia="Arial" w:cs="Arial"/>
                <w:lang w:val="en-US"/>
              </w:rPr>
            </w:pPr>
          </w:p>
          <w:p w:rsidR="006F14F0" w:rsidP="004B3806" w:rsidRDefault="006F14F0" w14:paraId="132DC30F" w14:textId="77777777">
            <w:pPr>
              <w:jc w:val="both"/>
              <w:rPr>
                <w:rFonts w:ascii="Arial" w:hAnsi="Arial" w:eastAsia="Arial" w:cs="Arial"/>
                <w:lang w:val="en-US"/>
              </w:rPr>
            </w:pPr>
          </w:p>
          <w:p w:rsidR="006F14F0" w:rsidP="004B3806" w:rsidRDefault="006F14F0" w14:paraId="7E2FC697" w14:textId="77777777">
            <w:pPr>
              <w:jc w:val="both"/>
              <w:rPr>
                <w:rFonts w:ascii="Arial" w:hAnsi="Arial" w:eastAsia="Arial" w:cs="Arial"/>
                <w:lang w:val="en-US"/>
              </w:rPr>
            </w:pPr>
          </w:p>
          <w:p w:rsidR="006F14F0" w:rsidP="004B3806" w:rsidRDefault="006F14F0" w14:paraId="182E20B7" w14:textId="77777777">
            <w:pPr>
              <w:jc w:val="both"/>
              <w:rPr>
                <w:rFonts w:ascii="Arial" w:hAnsi="Arial" w:eastAsia="Arial" w:cs="Arial"/>
                <w:lang w:val="en-US"/>
              </w:rPr>
            </w:pPr>
          </w:p>
          <w:p w:rsidR="00B71714" w:rsidP="004B3806" w:rsidRDefault="00B71714" w14:paraId="518948FC" w14:textId="37FDA19F">
            <w:pPr>
              <w:jc w:val="both"/>
              <w:rPr>
                <w:rFonts w:ascii="Arial" w:hAnsi="Arial" w:eastAsia="Arial" w:cs="Arial"/>
                <w:lang w:val="en-US"/>
              </w:rPr>
            </w:pPr>
            <w:r>
              <w:rPr>
                <w:rFonts w:ascii="Arial" w:hAnsi="Arial" w:eastAsia="Arial" w:cs="Arial"/>
                <w:lang w:val="en-US"/>
              </w:rPr>
              <w:t>4.3</w:t>
            </w:r>
          </w:p>
          <w:p w:rsidR="00BB0FC4" w:rsidP="004B3806" w:rsidRDefault="00BB0FC4" w14:paraId="1AC1C3F7" w14:textId="77777777">
            <w:pPr>
              <w:jc w:val="both"/>
              <w:rPr>
                <w:rFonts w:ascii="Arial" w:hAnsi="Arial" w:eastAsia="Arial" w:cs="Arial"/>
                <w:lang w:val="en-US"/>
              </w:rPr>
            </w:pPr>
          </w:p>
          <w:p w:rsidR="00BB0FC4" w:rsidP="004B3806" w:rsidRDefault="00BB0FC4" w14:paraId="16879B19" w14:textId="77777777">
            <w:pPr>
              <w:jc w:val="both"/>
              <w:rPr>
                <w:rFonts w:ascii="Arial" w:hAnsi="Arial" w:eastAsia="Arial" w:cs="Arial"/>
                <w:lang w:val="en-US"/>
              </w:rPr>
            </w:pPr>
          </w:p>
          <w:p w:rsidR="00BB0FC4" w:rsidP="004B3806" w:rsidRDefault="00BB0FC4" w14:paraId="6B55C2AE" w14:textId="77777777">
            <w:pPr>
              <w:jc w:val="both"/>
              <w:rPr>
                <w:rFonts w:ascii="Arial" w:hAnsi="Arial" w:eastAsia="Arial" w:cs="Arial"/>
                <w:lang w:val="en-US"/>
              </w:rPr>
            </w:pPr>
          </w:p>
          <w:p w:rsidR="00BB0FC4" w:rsidP="004B3806" w:rsidRDefault="00BB0FC4" w14:paraId="541A7AAE" w14:textId="77777777">
            <w:pPr>
              <w:jc w:val="both"/>
              <w:rPr>
                <w:rFonts w:ascii="Arial" w:hAnsi="Arial" w:eastAsia="Arial" w:cs="Arial"/>
                <w:lang w:val="en-US"/>
              </w:rPr>
            </w:pPr>
          </w:p>
          <w:p w:rsidR="00BB0FC4" w:rsidP="004B3806" w:rsidRDefault="00BB0FC4" w14:paraId="16E14D97" w14:textId="77777777">
            <w:pPr>
              <w:jc w:val="both"/>
              <w:rPr>
                <w:rFonts w:ascii="Arial" w:hAnsi="Arial" w:eastAsia="Arial" w:cs="Arial"/>
                <w:lang w:val="en-US"/>
              </w:rPr>
            </w:pPr>
          </w:p>
          <w:p w:rsidR="00BB0FC4" w:rsidP="004B3806" w:rsidRDefault="00D257BE" w14:paraId="5C6A4E4E" w14:textId="3A2B8F21">
            <w:pPr>
              <w:jc w:val="both"/>
              <w:rPr>
                <w:rFonts w:ascii="Arial" w:hAnsi="Arial" w:eastAsia="Arial" w:cs="Arial"/>
                <w:lang w:val="en-US"/>
              </w:rPr>
            </w:pPr>
            <w:r>
              <w:rPr>
                <w:rFonts w:ascii="Arial" w:hAnsi="Arial" w:eastAsia="Arial" w:cs="Arial"/>
                <w:lang w:val="en-US"/>
              </w:rPr>
              <w:t>4.4</w:t>
            </w:r>
          </w:p>
          <w:p w:rsidR="00BB0FC4" w:rsidP="004B3806" w:rsidRDefault="00BB0FC4" w14:paraId="754AE5DE" w14:textId="77777777">
            <w:pPr>
              <w:jc w:val="both"/>
              <w:rPr>
                <w:rFonts w:ascii="Arial" w:hAnsi="Arial" w:eastAsia="Arial" w:cs="Arial"/>
                <w:lang w:val="en-US"/>
              </w:rPr>
            </w:pPr>
          </w:p>
          <w:p w:rsidR="00BB0FC4" w:rsidP="004B3806" w:rsidRDefault="00BB0FC4" w14:paraId="55616631" w14:textId="77777777">
            <w:pPr>
              <w:jc w:val="both"/>
              <w:rPr>
                <w:rFonts w:ascii="Arial" w:hAnsi="Arial" w:eastAsia="Arial" w:cs="Arial"/>
                <w:lang w:val="en-US"/>
              </w:rPr>
            </w:pPr>
          </w:p>
          <w:p w:rsidR="00BB0FC4" w:rsidP="004B3806" w:rsidRDefault="00BB0FC4" w14:paraId="149A390D" w14:textId="77777777">
            <w:pPr>
              <w:jc w:val="both"/>
              <w:rPr>
                <w:rFonts w:ascii="Arial" w:hAnsi="Arial" w:eastAsia="Arial" w:cs="Arial"/>
                <w:lang w:val="en-US"/>
              </w:rPr>
            </w:pPr>
          </w:p>
          <w:p w:rsidR="00BB0FC4" w:rsidP="004B3806" w:rsidRDefault="00BB0FC4" w14:paraId="7B8B53A1" w14:textId="77777777">
            <w:pPr>
              <w:jc w:val="both"/>
              <w:rPr>
                <w:rFonts w:ascii="Arial" w:hAnsi="Arial" w:eastAsia="Arial" w:cs="Arial"/>
                <w:lang w:val="en-US"/>
              </w:rPr>
            </w:pPr>
          </w:p>
          <w:p w:rsidR="009F4F07" w:rsidP="004B3806" w:rsidRDefault="009F4F07" w14:paraId="2484B29A" w14:textId="07F97668">
            <w:pPr>
              <w:jc w:val="both"/>
              <w:rPr>
                <w:rFonts w:ascii="Arial" w:hAnsi="Arial" w:eastAsia="Arial" w:cs="Arial"/>
                <w:lang w:val="en-US"/>
              </w:rPr>
            </w:pPr>
          </w:p>
          <w:p w:rsidRPr="004330B3" w:rsidR="00903D92" w:rsidP="004B3806" w:rsidRDefault="00903D92" w14:paraId="1B2A3C24" w14:textId="77777777">
            <w:pPr>
              <w:jc w:val="both"/>
              <w:rPr>
                <w:rFonts w:ascii="Arial" w:hAnsi="Arial" w:eastAsia="Arial" w:cs="Arial"/>
                <w:lang w:val="en-US"/>
              </w:rPr>
            </w:pPr>
          </w:p>
        </w:tc>
        <w:tc>
          <w:tcPr>
            <w:tcW w:w="8325" w:type="dxa"/>
            <w:tcMar/>
          </w:tcPr>
          <w:p w:rsidR="00BD4F9E" w:rsidP="004B3806" w:rsidRDefault="00BD4F9E" w14:paraId="5E3F3EA4" w14:textId="77777777">
            <w:pPr>
              <w:jc w:val="both"/>
              <w:rPr>
                <w:rFonts w:ascii="Arial" w:hAnsi="Arial" w:cs="Arial"/>
              </w:rPr>
            </w:pPr>
            <w:r w:rsidRPr="00CD1298">
              <w:rPr>
                <w:rFonts w:ascii="Arial" w:hAnsi="Arial" w:cs="Arial"/>
              </w:rPr>
              <w:t xml:space="preserve">To support the effective implementation of SUSRs in our region, Gwent Safeguarding Board will use its well-established structure, incorporating Business Unit resources and support, alongside the regional trained chairs and reviewers list. This existing practice enables the resourcing of reviews with experienced, trained and independent chairs, reviewers and panel members, at no cost to an agency or organisation. However, there may be occasions when a cost for an independent, external chair or reviewer is incurred, either due to capacity challenges or due to the complexities of the </w:t>
            </w:r>
            <w:proofErr w:type="gramStart"/>
            <w:r w:rsidRPr="00CD1298">
              <w:rPr>
                <w:rFonts w:ascii="Arial" w:hAnsi="Arial" w:cs="Arial"/>
              </w:rPr>
              <w:t>particular review</w:t>
            </w:r>
            <w:proofErr w:type="gramEnd"/>
            <w:r w:rsidRPr="00CD1298">
              <w:rPr>
                <w:rFonts w:ascii="Arial" w:hAnsi="Arial" w:cs="Arial"/>
              </w:rPr>
              <w:t xml:space="preserve">.  </w:t>
            </w:r>
          </w:p>
          <w:p w:rsidRPr="00CD1298" w:rsidR="008E49F7" w:rsidP="004B3806" w:rsidRDefault="008E49F7" w14:paraId="0BF24EF8" w14:textId="77777777">
            <w:pPr>
              <w:jc w:val="both"/>
              <w:rPr>
                <w:rFonts w:ascii="Arial" w:hAnsi="Arial" w:cs="Arial"/>
              </w:rPr>
            </w:pPr>
          </w:p>
          <w:p w:rsidRPr="00CD1298" w:rsidR="008E49F7" w:rsidP="004B3806" w:rsidRDefault="008E49F7" w14:paraId="169E17FB" w14:textId="77777777">
            <w:pPr>
              <w:jc w:val="both"/>
              <w:rPr>
                <w:rFonts w:ascii="Arial" w:hAnsi="Arial" w:cs="Arial"/>
              </w:rPr>
            </w:pPr>
            <w:r w:rsidRPr="00CD1298">
              <w:rPr>
                <w:rFonts w:ascii="Arial" w:hAnsi="Arial" w:cs="Arial"/>
              </w:rPr>
              <w:t xml:space="preserve">In July 2024, Welsh Government wrote to the chairs of CSPs across Wales to reference their role in SUSRs and to provide advice on future funding arrangements.  </w:t>
            </w:r>
            <w:r w:rsidRPr="00BD4F9E">
              <w:rPr>
                <w:rFonts w:ascii="Arial" w:hAnsi="Arial" w:cs="Arial"/>
                <w:i/>
                <w:iCs/>
              </w:rPr>
              <w:t>Please see appendix 1 for</w:t>
            </w:r>
            <w:r w:rsidRPr="00CD1298">
              <w:rPr>
                <w:rFonts w:ascii="Arial" w:hAnsi="Arial" w:cs="Arial"/>
                <w:i/>
                <w:iCs/>
              </w:rPr>
              <w:t xml:space="preserve"> a copy of this letter for your information.</w:t>
            </w:r>
            <w:r w:rsidRPr="00CD1298">
              <w:rPr>
                <w:rFonts w:ascii="Arial" w:hAnsi="Arial" w:cs="Arial"/>
              </w:rPr>
              <w:t xml:space="preserve">  It outlines that, “presently when a domestic homicide occurs, and it is agreed that a DHR should be undertaken, the CSP co-ordinates the funding for the review. In the future, when a SUSR is to be undertaken </w:t>
            </w:r>
            <w:proofErr w:type="gramStart"/>
            <w:r w:rsidRPr="00CD1298">
              <w:rPr>
                <w:rFonts w:ascii="Arial" w:hAnsi="Arial" w:cs="Arial"/>
              </w:rPr>
              <w:t>as a consequence of</w:t>
            </w:r>
            <w:proofErr w:type="gramEnd"/>
            <w:r w:rsidRPr="00CD1298">
              <w:rPr>
                <w:rFonts w:ascii="Arial" w:hAnsi="Arial" w:cs="Arial"/>
              </w:rPr>
              <w:t xml:space="preserve"> a domestic homicide, the CSP should help fund delivery of that review in partnership with the Safeguarding Board.”</w:t>
            </w:r>
          </w:p>
          <w:p w:rsidR="008E49F7" w:rsidP="004B3806" w:rsidRDefault="008E49F7" w14:paraId="190BC5AD" w14:textId="77777777">
            <w:pPr>
              <w:jc w:val="both"/>
              <w:rPr>
                <w:rFonts w:ascii="Arial" w:hAnsi="Arial" w:cs="Arial"/>
              </w:rPr>
            </w:pPr>
          </w:p>
          <w:p w:rsidR="00D257BE" w:rsidP="004B3806" w:rsidRDefault="006F14F0" w14:paraId="4893447F" w14:textId="77777777">
            <w:pPr>
              <w:jc w:val="both"/>
              <w:rPr>
                <w:rFonts w:ascii="Arial" w:hAnsi="Arial" w:cs="Arial"/>
              </w:rPr>
            </w:pPr>
            <w:r w:rsidRPr="006F14F0">
              <w:rPr>
                <w:rFonts w:ascii="Arial" w:hAnsi="Arial" w:cs="Arial"/>
              </w:rPr>
              <w:t xml:space="preserve">At </w:t>
            </w:r>
            <w:r w:rsidR="00D257BE">
              <w:rPr>
                <w:rFonts w:ascii="Arial" w:hAnsi="Arial" w:cs="Arial"/>
              </w:rPr>
              <w:t xml:space="preserve">Gwent Safeguarding </w:t>
            </w:r>
            <w:r w:rsidRPr="006F14F0">
              <w:rPr>
                <w:rFonts w:ascii="Arial" w:hAnsi="Arial" w:cs="Arial"/>
              </w:rPr>
              <w:t>Board’s Case Review Group meeting on 12</w:t>
            </w:r>
            <w:r w:rsidRPr="006F14F0">
              <w:rPr>
                <w:rFonts w:ascii="Arial" w:hAnsi="Arial" w:cs="Arial"/>
                <w:vertAlign w:val="superscript"/>
              </w:rPr>
              <w:t>th</w:t>
            </w:r>
            <w:r w:rsidRPr="006F14F0">
              <w:rPr>
                <w:rFonts w:ascii="Arial" w:hAnsi="Arial" w:cs="Arial"/>
              </w:rPr>
              <w:t xml:space="preserve"> November 2024, with CSP Lead Managers in attendance, it was acknowledged that some CSPs in Gwent have existing funding formulas which they have previously used </w:t>
            </w:r>
            <w:proofErr w:type="gramStart"/>
            <w:r w:rsidRPr="006F14F0">
              <w:rPr>
                <w:rFonts w:ascii="Arial" w:hAnsi="Arial" w:cs="Arial"/>
              </w:rPr>
              <w:t>in order to</w:t>
            </w:r>
            <w:proofErr w:type="gramEnd"/>
            <w:r w:rsidRPr="006F14F0">
              <w:rPr>
                <w:rFonts w:ascii="Arial" w:hAnsi="Arial" w:cs="Arial"/>
              </w:rPr>
              <w:t xml:space="preserve"> collectively fund DHRs, whilst others do not.  </w:t>
            </w:r>
          </w:p>
          <w:p w:rsidR="00D257BE" w:rsidP="004B3806" w:rsidRDefault="00D257BE" w14:paraId="23435B02" w14:textId="77777777">
            <w:pPr>
              <w:jc w:val="both"/>
              <w:rPr>
                <w:rFonts w:ascii="Arial" w:hAnsi="Arial" w:cs="Arial"/>
              </w:rPr>
            </w:pPr>
          </w:p>
          <w:p w:rsidRPr="008E49F7" w:rsidR="00B71714" w:rsidP="004B3806" w:rsidRDefault="006F14F0" w14:paraId="4B1EA573" w14:textId="0DD73D8E">
            <w:pPr>
              <w:jc w:val="both"/>
              <w:rPr>
                <w:rFonts w:ascii="Arial" w:hAnsi="Arial" w:cs="Arial"/>
              </w:rPr>
            </w:pPr>
            <w:r w:rsidRPr="006F14F0">
              <w:rPr>
                <w:rFonts w:ascii="Arial" w:hAnsi="Arial" w:cs="Arial"/>
              </w:rPr>
              <w:t xml:space="preserve">Therefore, </w:t>
            </w:r>
            <w:proofErr w:type="gramStart"/>
            <w:r w:rsidRPr="006F14F0">
              <w:rPr>
                <w:rFonts w:ascii="Arial" w:hAnsi="Arial" w:cs="Arial"/>
              </w:rPr>
              <w:t>in order to</w:t>
            </w:r>
            <w:proofErr w:type="gramEnd"/>
            <w:r w:rsidRPr="006F14F0">
              <w:rPr>
                <w:rFonts w:ascii="Arial" w:hAnsi="Arial" w:cs="Arial"/>
              </w:rPr>
              <w:t xml:space="preserve"> support consistency across the region and prevent any future delays in the commissioning of a review, Gwent Safeguarding Board is keen to establish an arrangement with Gwent Public Service Board reflecting Community Safety Partnership statutory requirements, at the earliest opportunity, that sets out a future funding agreement for SUSRs relating to a domestic homicide.</w:t>
            </w:r>
          </w:p>
        </w:tc>
      </w:tr>
      <w:tr w:rsidRPr="004330B3" w:rsidR="004059A9" w:rsidTr="551E4BB1" w14:paraId="75B67227" w14:textId="77777777">
        <w:tc>
          <w:tcPr>
            <w:tcW w:w="959" w:type="dxa"/>
            <w:tcMar/>
          </w:tcPr>
          <w:p w:rsidR="004059A9" w:rsidP="004B3806" w:rsidRDefault="00CD2143" w14:paraId="2210AD13" w14:textId="094AA813">
            <w:pPr>
              <w:jc w:val="both"/>
              <w:rPr>
                <w:rFonts w:ascii="Arial" w:hAnsi="Arial" w:eastAsia="Arial" w:cs="Arial"/>
                <w:b/>
                <w:lang w:val="en-US"/>
              </w:rPr>
            </w:pPr>
            <w:r>
              <w:rPr>
                <w:rFonts w:ascii="Arial" w:hAnsi="Arial" w:eastAsia="Arial" w:cs="Arial"/>
                <w:b/>
                <w:lang w:val="en-US"/>
              </w:rPr>
              <w:t>5</w:t>
            </w:r>
          </w:p>
          <w:p w:rsidR="00733BB2" w:rsidP="004B3806" w:rsidRDefault="00733BB2" w14:paraId="74CC6513" w14:textId="77777777">
            <w:pPr>
              <w:jc w:val="both"/>
              <w:rPr>
                <w:rFonts w:ascii="Arial" w:hAnsi="Arial" w:eastAsia="Arial" w:cs="Arial"/>
                <w:b/>
                <w:lang w:val="en-US"/>
              </w:rPr>
            </w:pPr>
          </w:p>
          <w:p w:rsidR="00733BB2" w:rsidP="004B3806" w:rsidRDefault="002F409D" w14:paraId="604E8C6D" w14:textId="77777777">
            <w:pPr>
              <w:jc w:val="both"/>
              <w:rPr>
                <w:rFonts w:ascii="Arial" w:hAnsi="Arial" w:eastAsia="Arial" w:cs="Arial"/>
                <w:lang w:val="en-US"/>
              </w:rPr>
            </w:pPr>
            <w:r>
              <w:rPr>
                <w:rFonts w:ascii="Arial" w:hAnsi="Arial" w:eastAsia="Arial" w:cs="Arial"/>
                <w:lang w:val="en-US"/>
              </w:rPr>
              <w:t>6</w:t>
            </w:r>
            <w:r w:rsidR="00733BB2">
              <w:rPr>
                <w:rFonts w:ascii="Arial" w:hAnsi="Arial" w:eastAsia="Arial" w:cs="Arial"/>
                <w:lang w:val="en-US"/>
              </w:rPr>
              <w:t>.1</w:t>
            </w:r>
          </w:p>
          <w:p w:rsidR="007B3539" w:rsidP="004B3806" w:rsidRDefault="007B3539" w14:paraId="406E1B9F" w14:textId="77777777">
            <w:pPr>
              <w:jc w:val="both"/>
              <w:rPr>
                <w:rFonts w:ascii="Arial" w:hAnsi="Arial" w:eastAsia="Arial" w:cs="Arial"/>
                <w:lang w:val="en-US"/>
              </w:rPr>
            </w:pPr>
          </w:p>
          <w:p w:rsidR="007B3539" w:rsidP="004B3806" w:rsidRDefault="007B3539" w14:paraId="5B267D6C" w14:textId="77777777">
            <w:pPr>
              <w:jc w:val="both"/>
              <w:rPr>
                <w:rFonts w:ascii="Arial" w:hAnsi="Arial" w:eastAsia="Arial" w:cs="Arial"/>
                <w:lang w:val="en-US"/>
              </w:rPr>
            </w:pPr>
          </w:p>
          <w:p w:rsidR="007B3539" w:rsidP="004B3806" w:rsidRDefault="007B3539" w14:paraId="6EA69031" w14:textId="77777777">
            <w:pPr>
              <w:jc w:val="both"/>
              <w:rPr>
                <w:rFonts w:ascii="Arial" w:hAnsi="Arial" w:eastAsia="Arial" w:cs="Arial"/>
                <w:lang w:val="en-US"/>
              </w:rPr>
            </w:pPr>
          </w:p>
          <w:p w:rsidR="00CD2143" w:rsidP="004B3806" w:rsidRDefault="00CD2143" w14:paraId="0C5A969B" w14:textId="77777777">
            <w:pPr>
              <w:jc w:val="both"/>
              <w:rPr>
                <w:rFonts w:ascii="Arial" w:hAnsi="Arial" w:eastAsia="Arial" w:cs="Arial"/>
                <w:lang w:val="en-US"/>
              </w:rPr>
            </w:pPr>
          </w:p>
          <w:p w:rsidR="008E49F7" w:rsidP="004B3806" w:rsidRDefault="008E49F7" w14:paraId="70E2F052" w14:textId="77777777">
            <w:pPr>
              <w:jc w:val="both"/>
              <w:rPr>
                <w:rFonts w:ascii="Arial" w:hAnsi="Arial" w:eastAsia="Arial" w:cs="Arial"/>
                <w:lang w:val="en-US"/>
              </w:rPr>
            </w:pPr>
          </w:p>
          <w:p w:rsidR="007B3539" w:rsidP="004B3806" w:rsidRDefault="002F409D" w14:paraId="3E7B6CD7" w14:textId="77777777">
            <w:pPr>
              <w:jc w:val="both"/>
              <w:rPr>
                <w:rFonts w:ascii="Arial" w:hAnsi="Arial" w:eastAsia="Arial" w:cs="Arial"/>
                <w:lang w:val="en-US"/>
              </w:rPr>
            </w:pPr>
            <w:r>
              <w:rPr>
                <w:rFonts w:ascii="Arial" w:hAnsi="Arial" w:eastAsia="Arial" w:cs="Arial"/>
                <w:lang w:val="en-US"/>
              </w:rPr>
              <w:t>6</w:t>
            </w:r>
            <w:r w:rsidR="007B3539">
              <w:rPr>
                <w:rFonts w:ascii="Arial" w:hAnsi="Arial" w:eastAsia="Arial" w:cs="Arial"/>
                <w:lang w:val="en-US"/>
              </w:rPr>
              <w:t>.2</w:t>
            </w:r>
          </w:p>
          <w:p w:rsidR="003154CD" w:rsidP="004B3806" w:rsidRDefault="003154CD" w14:paraId="200B3F7C" w14:textId="77777777">
            <w:pPr>
              <w:jc w:val="both"/>
              <w:rPr>
                <w:rFonts w:ascii="Arial" w:hAnsi="Arial" w:eastAsia="Arial" w:cs="Arial"/>
                <w:lang w:val="en-US"/>
              </w:rPr>
            </w:pPr>
          </w:p>
          <w:p w:rsidR="003154CD" w:rsidP="004B3806" w:rsidRDefault="003154CD" w14:paraId="6A8F478B" w14:textId="77777777">
            <w:pPr>
              <w:jc w:val="both"/>
              <w:rPr>
                <w:rFonts w:ascii="Arial" w:hAnsi="Arial" w:eastAsia="Arial" w:cs="Arial"/>
                <w:lang w:val="en-US"/>
              </w:rPr>
            </w:pPr>
          </w:p>
          <w:p w:rsidR="003154CD" w:rsidP="004B3806" w:rsidRDefault="003154CD" w14:paraId="15B894FD" w14:textId="77777777">
            <w:pPr>
              <w:jc w:val="both"/>
              <w:rPr>
                <w:rFonts w:ascii="Arial" w:hAnsi="Arial" w:eastAsia="Arial" w:cs="Arial"/>
                <w:lang w:val="en-US"/>
              </w:rPr>
            </w:pPr>
          </w:p>
          <w:p w:rsidR="003154CD" w:rsidP="004B3806" w:rsidRDefault="003154CD" w14:paraId="2C74651A" w14:textId="77777777">
            <w:pPr>
              <w:jc w:val="both"/>
              <w:rPr>
                <w:rFonts w:ascii="Arial" w:hAnsi="Arial" w:eastAsia="Arial" w:cs="Arial"/>
                <w:lang w:val="en-US"/>
              </w:rPr>
            </w:pPr>
          </w:p>
          <w:p w:rsidR="003154CD" w:rsidP="004B3806" w:rsidRDefault="002F409D" w14:paraId="49BDB4B9" w14:textId="2193ACEC">
            <w:pPr>
              <w:jc w:val="both"/>
              <w:rPr>
                <w:rFonts w:ascii="Arial" w:hAnsi="Arial" w:eastAsia="Arial" w:cs="Arial"/>
                <w:lang w:val="en-US"/>
              </w:rPr>
            </w:pPr>
            <w:r>
              <w:rPr>
                <w:rFonts w:ascii="Arial" w:hAnsi="Arial" w:eastAsia="Arial" w:cs="Arial"/>
                <w:lang w:val="en-US"/>
              </w:rPr>
              <w:t>6</w:t>
            </w:r>
            <w:r w:rsidR="003154CD">
              <w:rPr>
                <w:rFonts w:ascii="Arial" w:hAnsi="Arial" w:eastAsia="Arial" w:cs="Arial"/>
                <w:lang w:val="en-US"/>
              </w:rPr>
              <w:t xml:space="preserve">.3 </w:t>
            </w:r>
          </w:p>
          <w:p w:rsidR="003154CD" w:rsidP="004B3806" w:rsidRDefault="003154CD" w14:paraId="0DCAFB18" w14:textId="77777777">
            <w:pPr>
              <w:jc w:val="both"/>
              <w:rPr>
                <w:rFonts w:ascii="Arial" w:hAnsi="Arial" w:eastAsia="Arial" w:cs="Arial"/>
                <w:lang w:val="en-US"/>
              </w:rPr>
            </w:pPr>
          </w:p>
          <w:p w:rsidR="003154CD" w:rsidP="004B3806" w:rsidRDefault="003154CD" w14:paraId="3F0F920C" w14:textId="77777777">
            <w:pPr>
              <w:jc w:val="both"/>
              <w:rPr>
                <w:rFonts w:ascii="Arial" w:hAnsi="Arial" w:eastAsia="Arial" w:cs="Arial"/>
                <w:lang w:val="en-US"/>
              </w:rPr>
            </w:pPr>
          </w:p>
          <w:p w:rsidR="003154CD" w:rsidP="004B3806" w:rsidRDefault="003154CD" w14:paraId="5362B764" w14:textId="77777777">
            <w:pPr>
              <w:jc w:val="both"/>
              <w:rPr>
                <w:rFonts w:ascii="Arial" w:hAnsi="Arial" w:eastAsia="Arial" w:cs="Arial"/>
                <w:lang w:val="en-US"/>
              </w:rPr>
            </w:pPr>
          </w:p>
          <w:p w:rsidR="003154CD" w:rsidP="004B3806" w:rsidRDefault="003154CD" w14:paraId="0D2259CA" w14:textId="77777777">
            <w:pPr>
              <w:jc w:val="both"/>
              <w:rPr>
                <w:rFonts w:ascii="Arial" w:hAnsi="Arial" w:eastAsia="Arial" w:cs="Arial"/>
                <w:lang w:val="en-US"/>
              </w:rPr>
            </w:pPr>
          </w:p>
          <w:p w:rsidR="003154CD" w:rsidP="004B3806" w:rsidRDefault="003154CD" w14:paraId="79DB416B" w14:textId="77777777">
            <w:pPr>
              <w:jc w:val="both"/>
              <w:rPr>
                <w:rFonts w:ascii="Arial" w:hAnsi="Arial" w:eastAsia="Arial" w:cs="Arial"/>
                <w:lang w:val="en-US"/>
              </w:rPr>
            </w:pPr>
          </w:p>
          <w:p w:rsidR="003154CD" w:rsidP="004B3806" w:rsidRDefault="003154CD" w14:paraId="6B69980F" w14:textId="77777777">
            <w:pPr>
              <w:jc w:val="both"/>
              <w:rPr>
                <w:rFonts w:ascii="Arial" w:hAnsi="Arial" w:eastAsia="Arial" w:cs="Arial"/>
                <w:lang w:val="en-US"/>
              </w:rPr>
            </w:pPr>
          </w:p>
          <w:p w:rsidRPr="00733BB2" w:rsidR="003154CD" w:rsidP="004B3806" w:rsidRDefault="003154CD" w14:paraId="5204A7CF" w14:textId="77777777">
            <w:pPr>
              <w:jc w:val="both"/>
              <w:rPr>
                <w:rFonts w:ascii="Arial" w:hAnsi="Arial" w:eastAsia="Arial" w:cs="Arial"/>
                <w:lang w:val="en-US"/>
              </w:rPr>
            </w:pPr>
          </w:p>
        </w:tc>
        <w:tc>
          <w:tcPr>
            <w:tcW w:w="8325" w:type="dxa"/>
            <w:tcMar/>
          </w:tcPr>
          <w:p w:rsidRPr="003154CD" w:rsidR="003154CD" w:rsidP="004B3806" w:rsidRDefault="003154CD" w14:paraId="472BE9E3" w14:textId="77777777">
            <w:pPr>
              <w:jc w:val="both"/>
              <w:rPr>
                <w:rFonts w:ascii="Arial" w:hAnsi="Arial" w:cs="Arial" w:eastAsiaTheme="minorHAnsi"/>
                <w:b/>
                <w:lang w:eastAsia="en-US"/>
              </w:rPr>
            </w:pPr>
            <w:r w:rsidRPr="003154CD">
              <w:rPr>
                <w:rFonts w:ascii="Arial" w:hAnsi="Arial" w:cs="Arial" w:eastAsiaTheme="minorHAnsi"/>
                <w:b/>
                <w:lang w:eastAsia="en-US"/>
              </w:rPr>
              <w:lastRenderedPageBreak/>
              <w:t>Proposal</w:t>
            </w:r>
          </w:p>
          <w:p w:rsidRPr="003154CD" w:rsidR="003154CD" w:rsidP="004B3806" w:rsidRDefault="003154CD" w14:paraId="7AB8895F" w14:textId="77777777">
            <w:pPr>
              <w:jc w:val="both"/>
              <w:rPr>
                <w:rFonts w:ascii="Arial" w:hAnsi="Arial" w:cs="Arial" w:eastAsiaTheme="minorHAnsi"/>
                <w:lang w:eastAsia="en-US"/>
              </w:rPr>
            </w:pPr>
          </w:p>
          <w:p w:rsidR="008E49F7" w:rsidP="004B3806" w:rsidRDefault="008E49F7" w14:paraId="79121E03" w14:textId="4DDDB4E2">
            <w:pPr>
              <w:jc w:val="both"/>
              <w:rPr>
                <w:rFonts w:ascii="Arial" w:hAnsi="Arial" w:cs="Arial" w:eastAsiaTheme="minorHAnsi"/>
                <w:lang w:eastAsia="en-US"/>
              </w:rPr>
            </w:pPr>
            <w:r>
              <w:rPr>
                <w:rFonts w:ascii="Arial" w:hAnsi="Arial" w:cs="Arial" w:eastAsiaTheme="minorHAnsi"/>
                <w:lang w:eastAsia="en-US"/>
              </w:rPr>
              <w:t>Although Gwent Safeguarding Board intends to consider the chair and reviewer options which do not incur costs in the first instance, i</w:t>
            </w:r>
            <w:r w:rsidRPr="00282328">
              <w:rPr>
                <w:rFonts w:ascii="Arial" w:hAnsi="Arial" w:cs="Arial" w:eastAsiaTheme="minorHAnsi"/>
                <w:lang w:eastAsia="en-US"/>
              </w:rPr>
              <w:t xml:space="preserve">t should be noted that, by exception, there may be occasions when it is not appropriate for a DHR to be </w:t>
            </w:r>
            <w:r>
              <w:rPr>
                <w:rFonts w:ascii="Arial" w:hAnsi="Arial" w:cs="Arial" w:eastAsiaTheme="minorHAnsi"/>
                <w:lang w:eastAsia="en-US"/>
              </w:rPr>
              <w:t>commissioned</w:t>
            </w:r>
            <w:r w:rsidRPr="00282328">
              <w:rPr>
                <w:rFonts w:ascii="Arial" w:hAnsi="Arial" w:cs="Arial" w:eastAsiaTheme="minorHAnsi"/>
                <w:lang w:eastAsia="en-US"/>
              </w:rPr>
              <w:t xml:space="preserve"> </w:t>
            </w:r>
            <w:r>
              <w:rPr>
                <w:rFonts w:ascii="Arial" w:hAnsi="Arial" w:cs="Arial" w:eastAsiaTheme="minorHAnsi"/>
                <w:lang w:eastAsia="en-US"/>
              </w:rPr>
              <w:t>in this way.  A</w:t>
            </w:r>
            <w:r w:rsidRPr="00282328">
              <w:rPr>
                <w:rFonts w:ascii="Arial" w:hAnsi="Arial" w:cs="Arial" w:eastAsiaTheme="minorHAnsi"/>
                <w:lang w:eastAsia="en-US"/>
              </w:rPr>
              <w:t>t these times</w:t>
            </w:r>
            <w:r>
              <w:rPr>
                <w:rFonts w:ascii="Arial" w:hAnsi="Arial" w:cs="Arial" w:eastAsiaTheme="minorHAnsi"/>
                <w:lang w:eastAsia="en-US"/>
              </w:rPr>
              <w:t>,</w:t>
            </w:r>
            <w:r w:rsidRPr="00282328">
              <w:rPr>
                <w:rFonts w:ascii="Arial" w:hAnsi="Arial" w:cs="Arial" w:eastAsiaTheme="minorHAnsi"/>
                <w:lang w:eastAsia="en-US"/>
              </w:rPr>
              <w:t xml:space="preserve"> </w:t>
            </w:r>
            <w:r w:rsidRPr="00CD1298" w:rsidR="00BE19D4">
              <w:rPr>
                <w:rFonts w:ascii="Arial" w:hAnsi="Arial" w:cs="Arial"/>
              </w:rPr>
              <w:t xml:space="preserve">a cost for an independent, external chair or reviewer </w:t>
            </w:r>
            <w:r w:rsidR="00BE19D4">
              <w:rPr>
                <w:rFonts w:ascii="Arial" w:hAnsi="Arial" w:cs="Arial"/>
              </w:rPr>
              <w:t>may be</w:t>
            </w:r>
            <w:r w:rsidRPr="00CD1298" w:rsidR="00BE19D4">
              <w:rPr>
                <w:rFonts w:ascii="Arial" w:hAnsi="Arial" w:cs="Arial"/>
              </w:rPr>
              <w:t xml:space="preserve"> incurred</w:t>
            </w:r>
            <w:r w:rsidRPr="00282328">
              <w:rPr>
                <w:rFonts w:ascii="Arial" w:hAnsi="Arial" w:cs="Arial" w:eastAsiaTheme="minorHAnsi"/>
                <w:lang w:eastAsia="en-US"/>
              </w:rPr>
              <w:t>.</w:t>
            </w:r>
          </w:p>
          <w:p w:rsidR="008E49F7" w:rsidP="004B3806" w:rsidRDefault="008E49F7" w14:paraId="47165060" w14:textId="77777777">
            <w:pPr>
              <w:jc w:val="both"/>
              <w:rPr>
                <w:rFonts w:ascii="Arial" w:hAnsi="Arial" w:cs="Arial" w:eastAsiaTheme="minorHAnsi"/>
                <w:lang w:eastAsia="en-US"/>
              </w:rPr>
            </w:pPr>
          </w:p>
          <w:p w:rsidRPr="006F14F0" w:rsidR="008E49F7" w:rsidP="004B3806" w:rsidRDefault="008E49F7" w14:paraId="3E16534F" w14:textId="77777777">
            <w:pPr>
              <w:jc w:val="both"/>
              <w:rPr>
                <w:rFonts w:ascii="Arial" w:hAnsi="Arial" w:cs="Arial"/>
              </w:rPr>
            </w:pPr>
            <w:r w:rsidRPr="006F14F0">
              <w:rPr>
                <w:rFonts w:ascii="Arial" w:hAnsi="Arial" w:cs="Arial"/>
              </w:rPr>
              <w:t>We would therefore welcome the PSB’s agreement and support for this funding model, to ensure that domestic homicide SUSR’s can continue to be established and managed in an effective way as we move forward under the new SUSR statutory guidance arrangements.</w:t>
            </w:r>
          </w:p>
          <w:p w:rsidR="008E49F7" w:rsidP="004B3806" w:rsidRDefault="008E49F7" w14:paraId="35F9DE78" w14:textId="77777777">
            <w:pPr>
              <w:jc w:val="both"/>
              <w:rPr>
                <w:rFonts w:ascii="Arial" w:hAnsi="Arial" w:cs="Arial"/>
              </w:rPr>
            </w:pPr>
          </w:p>
          <w:p w:rsidRPr="00D27F92" w:rsidR="001E71EC" w:rsidP="004B3806" w:rsidRDefault="008E49F7" w14:paraId="4ECEFC6B" w14:textId="086091AF">
            <w:pPr>
              <w:jc w:val="both"/>
              <w:rPr>
                <w:rFonts w:ascii="Arial" w:hAnsi="Arial" w:cs="Arial" w:eastAsiaTheme="minorHAnsi"/>
                <w:lang w:eastAsia="en-US"/>
              </w:rPr>
            </w:pPr>
            <w:r w:rsidRPr="006F14F0">
              <w:rPr>
                <w:rFonts w:ascii="Arial" w:hAnsi="Arial" w:cs="Arial"/>
              </w:rPr>
              <w:t xml:space="preserve">As there is an existing funding formula which is currently used successfully by some Gwent CSPs, we are seeking PSB agreement to adopt this approach </w:t>
            </w:r>
            <w:r w:rsidRPr="006F14F0">
              <w:rPr>
                <w:rFonts w:ascii="Arial" w:hAnsi="Arial" w:cs="Arial"/>
              </w:rPr>
              <w:lastRenderedPageBreak/>
              <w:t xml:space="preserve">across the region for funding all domestic homicide related SUSR’s for when, and where, additional costs are incurred. This current funding model - a five-way split of costs between the relevant CSP statutory partners of ABUHB, South Wales Fire and Rescue Service, HMPPS, Gwent Police and the respective Local Authority – would enable a consistent and equitable approach to funding domestic homicide SUSR’s across the region.  </w:t>
            </w:r>
          </w:p>
        </w:tc>
      </w:tr>
      <w:tr w:rsidRPr="004330B3" w:rsidR="006617FB" w:rsidTr="551E4BB1" w14:paraId="08F3FE90" w14:textId="77777777">
        <w:tc>
          <w:tcPr>
            <w:tcW w:w="959" w:type="dxa"/>
            <w:tcMar/>
          </w:tcPr>
          <w:p w:rsidR="006617FB" w:rsidP="004B3806" w:rsidRDefault="006617FB" w14:paraId="734647D6" w14:textId="77777777">
            <w:pPr>
              <w:jc w:val="both"/>
              <w:rPr>
                <w:rFonts w:ascii="Arial" w:hAnsi="Arial" w:eastAsia="Arial" w:cs="Arial"/>
                <w:lang w:val="en-US"/>
              </w:rPr>
            </w:pPr>
          </w:p>
        </w:tc>
        <w:tc>
          <w:tcPr>
            <w:tcW w:w="8325" w:type="dxa"/>
            <w:tcMar/>
          </w:tcPr>
          <w:p w:rsidR="00356DEC" w:rsidP="004B3806" w:rsidRDefault="00356DEC" w14:paraId="195FE7AC" w14:textId="77777777">
            <w:pPr>
              <w:pStyle w:val="Default"/>
              <w:jc w:val="both"/>
              <w:rPr>
                <w:b/>
                <w:color w:val="auto"/>
              </w:rPr>
            </w:pPr>
          </w:p>
          <w:p w:rsidRPr="006617FB" w:rsidR="004B3806" w:rsidP="004B3806" w:rsidRDefault="004B3806" w14:paraId="6A3EDEBE" w14:textId="77777777">
            <w:pPr>
              <w:pStyle w:val="Default"/>
              <w:jc w:val="both"/>
              <w:rPr>
                <w:b/>
                <w:color w:val="auto"/>
              </w:rPr>
            </w:pPr>
          </w:p>
        </w:tc>
      </w:tr>
      <w:tr w:rsidRPr="004330B3" w:rsidR="00BD0FD1" w:rsidTr="551E4BB1" w14:paraId="122C8F54" w14:textId="77777777">
        <w:tc>
          <w:tcPr>
            <w:tcW w:w="959" w:type="dxa"/>
            <w:tcMar/>
          </w:tcPr>
          <w:p w:rsidRPr="004330B3" w:rsidR="00BD0FD1" w:rsidP="004B3806" w:rsidRDefault="00356DEC" w14:paraId="13797E22" w14:textId="77777777">
            <w:pPr>
              <w:jc w:val="both"/>
              <w:rPr>
                <w:rFonts w:ascii="Arial" w:hAnsi="Arial" w:eastAsia="Arial" w:cs="Arial"/>
                <w:b/>
                <w:lang w:val="en-US"/>
              </w:rPr>
            </w:pPr>
            <w:r>
              <w:rPr>
                <w:rFonts w:ascii="Arial" w:hAnsi="Arial" w:eastAsia="Arial" w:cs="Arial"/>
                <w:b/>
                <w:lang w:val="en-US"/>
              </w:rPr>
              <w:t>7</w:t>
            </w:r>
            <w:r w:rsidRPr="004330B3" w:rsidR="00BD0FD1">
              <w:rPr>
                <w:rFonts w:ascii="Arial" w:hAnsi="Arial" w:eastAsia="Arial" w:cs="Arial"/>
                <w:b/>
                <w:lang w:val="en-US"/>
              </w:rPr>
              <w:t>.</w:t>
            </w:r>
          </w:p>
        </w:tc>
        <w:tc>
          <w:tcPr>
            <w:tcW w:w="8325" w:type="dxa"/>
            <w:tcMar/>
          </w:tcPr>
          <w:p w:rsidRPr="000C336A" w:rsidR="00BD0FD1" w:rsidP="004B3806" w:rsidRDefault="00BD0FD1" w14:paraId="36E88B16" w14:textId="77777777">
            <w:pPr>
              <w:jc w:val="both"/>
              <w:rPr>
                <w:rFonts w:ascii="Arial" w:hAnsi="Arial" w:eastAsia="Arial" w:cs="Arial"/>
                <w:b/>
                <w:lang w:val="en-US"/>
              </w:rPr>
            </w:pPr>
            <w:r w:rsidRPr="000C336A">
              <w:rPr>
                <w:rFonts w:ascii="Arial" w:hAnsi="Arial" w:eastAsia="Arial" w:cs="Arial"/>
                <w:b/>
                <w:lang w:val="en-US"/>
              </w:rPr>
              <w:t>Consultation</w:t>
            </w:r>
          </w:p>
        </w:tc>
      </w:tr>
      <w:tr w:rsidRPr="004330B3" w:rsidR="00BD0FD1" w:rsidTr="551E4BB1" w14:paraId="36D3F191" w14:textId="77777777">
        <w:tc>
          <w:tcPr>
            <w:tcW w:w="959" w:type="dxa"/>
            <w:tcMar/>
          </w:tcPr>
          <w:p w:rsidRPr="004330B3" w:rsidR="00BD0FD1" w:rsidP="004B3806" w:rsidRDefault="00BD0FD1" w14:paraId="5283562B" w14:textId="77777777">
            <w:pPr>
              <w:jc w:val="both"/>
              <w:rPr>
                <w:rFonts w:ascii="Arial" w:hAnsi="Arial" w:eastAsia="Arial" w:cs="Arial"/>
                <w:lang w:val="en-US"/>
              </w:rPr>
            </w:pPr>
          </w:p>
        </w:tc>
        <w:tc>
          <w:tcPr>
            <w:tcW w:w="8325" w:type="dxa"/>
            <w:tcMar/>
          </w:tcPr>
          <w:p w:rsidRPr="004330B3" w:rsidR="00BD0FD1" w:rsidP="004B3806" w:rsidRDefault="00BD0FD1" w14:paraId="138D827F" w14:textId="77777777">
            <w:pPr>
              <w:jc w:val="both"/>
              <w:rPr>
                <w:rFonts w:ascii="Arial" w:hAnsi="Arial" w:eastAsia="Arial" w:cs="Arial"/>
                <w:lang w:val="en-US"/>
              </w:rPr>
            </w:pPr>
          </w:p>
        </w:tc>
      </w:tr>
      <w:tr w:rsidRPr="004330B3" w:rsidR="00BD0FD1" w:rsidTr="551E4BB1" w14:paraId="37994206" w14:textId="77777777">
        <w:tc>
          <w:tcPr>
            <w:tcW w:w="959" w:type="dxa"/>
            <w:tcMar/>
          </w:tcPr>
          <w:p w:rsidR="009D2264" w:rsidP="004B3806" w:rsidRDefault="00356DEC" w14:paraId="7BE720B0" w14:textId="77777777">
            <w:pPr>
              <w:jc w:val="both"/>
              <w:rPr>
                <w:rFonts w:ascii="Arial" w:hAnsi="Arial" w:eastAsia="Arial" w:cs="Arial"/>
                <w:lang w:val="en-US"/>
              </w:rPr>
            </w:pPr>
            <w:r>
              <w:rPr>
                <w:rFonts w:ascii="Arial" w:hAnsi="Arial" w:eastAsia="Arial" w:cs="Arial"/>
                <w:lang w:val="en-US"/>
              </w:rPr>
              <w:t>7</w:t>
            </w:r>
            <w:r w:rsidRPr="004330B3" w:rsidR="00BD0FD1">
              <w:rPr>
                <w:rFonts w:ascii="Arial" w:hAnsi="Arial" w:eastAsia="Arial" w:cs="Arial"/>
                <w:lang w:val="en-US"/>
              </w:rPr>
              <w:t>.1</w:t>
            </w:r>
          </w:p>
          <w:p w:rsidR="009D2264" w:rsidP="004B3806" w:rsidRDefault="009D2264" w14:paraId="6CDDF80C" w14:textId="77777777">
            <w:pPr>
              <w:jc w:val="both"/>
              <w:rPr>
                <w:rFonts w:ascii="Arial" w:hAnsi="Arial" w:eastAsia="Arial" w:cs="Arial"/>
                <w:lang w:val="en-US"/>
              </w:rPr>
            </w:pPr>
          </w:p>
          <w:p w:rsidR="009D2264" w:rsidP="004B3806" w:rsidRDefault="009D2264" w14:paraId="1A81C4CB" w14:textId="77777777">
            <w:pPr>
              <w:jc w:val="both"/>
              <w:rPr>
                <w:rFonts w:ascii="Arial" w:hAnsi="Arial" w:eastAsia="Arial" w:cs="Arial"/>
                <w:lang w:val="en-US"/>
              </w:rPr>
            </w:pPr>
          </w:p>
          <w:p w:rsidR="009D2264" w:rsidP="004B3806" w:rsidRDefault="009D2264" w14:paraId="7F6770E4" w14:textId="77777777">
            <w:pPr>
              <w:jc w:val="both"/>
              <w:rPr>
                <w:rFonts w:ascii="Arial" w:hAnsi="Arial" w:eastAsia="Arial" w:cs="Arial"/>
                <w:lang w:val="en-US"/>
              </w:rPr>
            </w:pPr>
          </w:p>
          <w:p w:rsidR="009D2264" w:rsidP="004B3806" w:rsidRDefault="009D2264" w14:paraId="3E62D02B" w14:textId="77777777">
            <w:pPr>
              <w:jc w:val="both"/>
              <w:rPr>
                <w:rFonts w:ascii="Arial" w:hAnsi="Arial" w:eastAsia="Arial" w:cs="Arial"/>
                <w:lang w:val="en-US"/>
              </w:rPr>
            </w:pPr>
          </w:p>
          <w:p w:rsidR="009D2264" w:rsidP="004B3806" w:rsidRDefault="009D2264" w14:paraId="6FD8C67A" w14:textId="77777777">
            <w:pPr>
              <w:jc w:val="both"/>
              <w:rPr>
                <w:rFonts w:ascii="Arial" w:hAnsi="Arial" w:eastAsia="Arial" w:cs="Arial"/>
                <w:lang w:val="en-US"/>
              </w:rPr>
            </w:pPr>
          </w:p>
          <w:p w:rsidRPr="004330B3" w:rsidR="009D2264" w:rsidP="004B3806" w:rsidRDefault="009D2264" w14:paraId="6A4333BF" w14:textId="77777777">
            <w:pPr>
              <w:jc w:val="both"/>
              <w:rPr>
                <w:rFonts w:ascii="Arial" w:hAnsi="Arial" w:eastAsia="Arial" w:cs="Arial"/>
                <w:lang w:val="en-US"/>
              </w:rPr>
            </w:pPr>
          </w:p>
        </w:tc>
        <w:tc>
          <w:tcPr>
            <w:tcW w:w="8325" w:type="dxa"/>
            <w:tcMar/>
          </w:tcPr>
          <w:p w:rsidR="00BD0FD1" w:rsidP="004B3806" w:rsidRDefault="00290542" w14:paraId="2F25294A" w14:textId="77777777">
            <w:pPr>
              <w:jc w:val="both"/>
              <w:rPr>
                <w:rFonts w:ascii="Arial" w:hAnsi="Arial" w:eastAsia="Arial" w:cs="Arial"/>
                <w:lang w:val="en-US"/>
              </w:rPr>
            </w:pPr>
            <w:r>
              <w:rPr>
                <w:rFonts w:ascii="Arial" w:hAnsi="Arial" w:eastAsia="Arial" w:cs="Arial"/>
                <w:lang w:val="en-US"/>
              </w:rPr>
              <w:t>The following have been consulted on this report and are supportive of the recommendations:</w:t>
            </w:r>
          </w:p>
          <w:p w:rsidRPr="00290542" w:rsidR="00BD0FD1" w:rsidP="004B3806" w:rsidRDefault="00BD0FD1" w14:paraId="3FADBBDF" w14:textId="77777777">
            <w:pPr>
              <w:jc w:val="both"/>
              <w:rPr>
                <w:rFonts w:ascii="Arial" w:hAnsi="Arial" w:eastAsia="Arial" w:cs="Arial"/>
                <w:sz w:val="20"/>
                <w:lang w:val="en-US"/>
              </w:rPr>
            </w:pPr>
          </w:p>
          <w:p w:rsidRPr="00AF7654" w:rsidR="00AF7654" w:rsidP="004B3806" w:rsidRDefault="00AF7654" w14:paraId="070D3880" w14:textId="2DFB7E83">
            <w:pPr>
              <w:pStyle w:val="ListParagraph"/>
              <w:numPr>
                <w:ilvl w:val="0"/>
                <w:numId w:val="9"/>
              </w:numPr>
              <w:jc w:val="both"/>
              <w:rPr>
                <w:rFonts w:eastAsia="Arial"/>
                <w:lang w:val="en-US"/>
              </w:rPr>
            </w:pPr>
            <w:r>
              <w:rPr>
                <w:rFonts w:eastAsia="Arial"/>
                <w:b w:val="0"/>
                <w:sz w:val="24"/>
                <w:lang w:val="en-US"/>
              </w:rPr>
              <w:t xml:space="preserve">VAWDASV Board </w:t>
            </w:r>
          </w:p>
          <w:p w:rsidRPr="00AF7654" w:rsidR="00AF7654" w:rsidP="004B3806" w:rsidRDefault="00CD2143" w14:paraId="213D3BDA" w14:textId="36C8E824">
            <w:pPr>
              <w:pStyle w:val="ListParagraph"/>
              <w:numPr>
                <w:ilvl w:val="0"/>
                <w:numId w:val="9"/>
              </w:numPr>
              <w:jc w:val="both"/>
              <w:rPr>
                <w:rFonts w:eastAsia="Arial"/>
                <w:lang w:val="en-US"/>
              </w:rPr>
            </w:pPr>
            <w:r>
              <w:rPr>
                <w:rFonts w:eastAsia="Arial"/>
                <w:b w:val="0"/>
                <w:sz w:val="24"/>
                <w:lang w:val="en-US"/>
              </w:rPr>
              <w:t>CSP</w:t>
            </w:r>
            <w:r w:rsidR="00AF7654">
              <w:rPr>
                <w:rFonts w:eastAsia="Arial"/>
                <w:b w:val="0"/>
                <w:sz w:val="24"/>
                <w:lang w:val="en-US"/>
              </w:rPr>
              <w:t xml:space="preserve"> Lead Officers</w:t>
            </w:r>
          </w:p>
          <w:p w:rsidRPr="00AF7654" w:rsidR="00AF7654" w:rsidP="004B3806" w:rsidRDefault="00AF7654" w14:paraId="452DDA42" w14:textId="55A1CC4B">
            <w:pPr>
              <w:pStyle w:val="ListParagraph"/>
              <w:numPr>
                <w:ilvl w:val="0"/>
                <w:numId w:val="9"/>
              </w:numPr>
              <w:jc w:val="both"/>
              <w:rPr>
                <w:rFonts w:eastAsia="Arial"/>
                <w:lang w:val="en-US"/>
              </w:rPr>
            </w:pPr>
            <w:r>
              <w:rPr>
                <w:rFonts w:eastAsia="Arial"/>
                <w:b w:val="0"/>
                <w:sz w:val="24"/>
                <w:lang w:val="en-US"/>
              </w:rPr>
              <w:t>Gwent Safeguarding Board</w:t>
            </w:r>
            <w:r w:rsidR="00CD2143">
              <w:rPr>
                <w:rFonts w:eastAsia="Arial"/>
                <w:b w:val="0"/>
                <w:sz w:val="24"/>
                <w:lang w:val="en-US"/>
              </w:rPr>
              <w:t xml:space="preserve"> chairpersons</w:t>
            </w:r>
          </w:p>
          <w:p w:rsidRPr="00CD2143" w:rsidR="00290542" w:rsidP="004B3806" w:rsidRDefault="00CD2143" w14:paraId="252C828E" w14:textId="20290880">
            <w:pPr>
              <w:pStyle w:val="ListParagraph"/>
              <w:numPr>
                <w:ilvl w:val="0"/>
                <w:numId w:val="9"/>
              </w:numPr>
              <w:jc w:val="both"/>
              <w:rPr>
                <w:rFonts w:eastAsia="Arial"/>
                <w:lang w:val="en-US"/>
              </w:rPr>
            </w:pPr>
            <w:r>
              <w:rPr>
                <w:rFonts w:eastAsia="Arial"/>
                <w:b w:val="0"/>
                <w:sz w:val="24"/>
                <w:lang w:val="en-US"/>
              </w:rPr>
              <w:t>Gwent Safeguarding Board Case Review Group</w:t>
            </w:r>
          </w:p>
        </w:tc>
      </w:tr>
      <w:tr w:rsidRPr="004330B3" w:rsidR="00BD0FD1" w:rsidTr="551E4BB1" w14:paraId="5461F7FE" w14:textId="77777777">
        <w:tc>
          <w:tcPr>
            <w:tcW w:w="959" w:type="dxa"/>
            <w:tcMar/>
          </w:tcPr>
          <w:p w:rsidRPr="004330B3" w:rsidR="00BD0FD1" w:rsidP="004B3806" w:rsidRDefault="00BD0FD1" w14:paraId="0D86C21D" w14:textId="77777777">
            <w:pPr>
              <w:jc w:val="both"/>
              <w:rPr>
                <w:rFonts w:ascii="Arial" w:hAnsi="Arial" w:eastAsia="Arial" w:cs="Arial"/>
                <w:b/>
                <w:lang w:val="en-US"/>
              </w:rPr>
            </w:pPr>
          </w:p>
        </w:tc>
        <w:tc>
          <w:tcPr>
            <w:tcW w:w="8325" w:type="dxa"/>
            <w:tcMar/>
          </w:tcPr>
          <w:p w:rsidRPr="004330B3" w:rsidR="00BD0FD1" w:rsidP="004B3806" w:rsidRDefault="00BD0FD1" w14:paraId="05D19586" w14:textId="77777777">
            <w:pPr>
              <w:jc w:val="both"/>
              <w:rPr>
                <w:rFonts w:ascii="Arial" w:hAnsi="Arial" w:eastAsia="Arial" w:cs="Arial"/>
                <w:b/>
                <w:lang w:val="en-US"/>
              </w:rPr>
            </w:pPr>
          </w:p>
        </w:tc>
      </w:tr>
      <w:tr w:rsidRPr="004330B3" w:rsidR="00BD0FD1" w:rsidTr="551E4BB1" w14:paraId="133C1188" w14:textId="77777777">
        <w:tc>
          <w:tcPr>
            <w:tcW w:w="959" w:type="dxa"/>
            <w:tcMar/>
          </w:tcPr>
          <w:p w:rsidRPr="004330B3" w:rsidR="00BD0FD1" w:rsidP="004B3806" w:rsidRDefault="00356DEC" w14:paraId="4D739B99" w14:textId="77777777">
            <w:pPr>
              <w:jc w:val="both"/>
              <w:rPr>
                <w:rFonts w:ascii="Arial" w:hAnsi="Arial" w:eastAsia="Arial" w:cs="Arial"/>
                <w:b/>
                <w:lang w:val="en-US"/>
              </w:rPr>
            </w:pPr>
            <w:r>
              <w:rPr>
                <w:rFonts w:ascii="Arial" w:hAnsi="Arial" w:eastAsia="Arial" w:cs="Arial"/>
                <w:b/>
                <w:lang w:val="en-US"/>
              </w:rPr>
              <w:t>8</w:t>
            </w:r>
            <w:r w:rsidR="00BD0FD1">
              <w:rPr>
                <w:rFonts w:ascii="Arial" w:hAnsi="Arial" w:eastAsia="Arial" w:cs="Arial"/>
                <w:b/>
                <w:lang w:val="en-US"/>
              </w:rPr>
              <w:t>.</w:t>
            </w:r>
          </w:p>
        </w:tc>
        <w:tc>
          <w:tcPr>
            <w:tcW w:w="8325" w:type="dxa"/>
            <w:tcMar/>
          </w:tcPr>
          <w:p w:rsidRPr="000C336A" w:rsidR="00BD0FD1" w:rsidP="004B3806" w:rsidRDefault="00BD0FD1" w14:paraId="67250BA1" w14:textId="77777777">
            <w:pPr>
              <w:jc w:val="both"/>
              <w:rPr>
                <w:rFonts w:ascii="Arial" w:hAnsi="Arial" w:eastAsia="Arial" w:cs="Arial"/>
                <w:b/>
                <w:lang w:val="en-US"/>
              </w:rPr>
            </w:pPr>
            <w:r w:rsidRPr="000C336A">
              <w:rPr>
                <w:rFonts w:ascii="Arial" w:hAnsi="Arial" w:eastAsia="Arial" w:cs="Arial"/>
                <w:b/>
                <w:lang w:val="en-US"/>
              </w:rPr>
              <w:t xml:space="preserve">Risks </w:t>
            </w:r>
          </w:p>
        </w:tc>
      </w:tr>
      <w:tr w:rsidRPr="004330B3" w:rsidR="00BD0FD1" w:rsidTr="551E4BB1" w14:paraId="2AA7EBBD" w14:textId="77777777">
        <w:tc>
          <w:tcPr>
            <w:tcW w:w="959" w:type="dxa"/>
            <w:tcMar/>
          </w:tcPr>
          <w:p w:rsidR="00BD0FD1" w:rsidP="004B3806" w:rsidRDefault="00BD0FD1" w14:paraId="0279536B" w14:textId="77777777">
            <w:pPr>
              <w:jc w:val="both"/>
              <w:rPr>
                <w:rFonts w:ascii="Arial" w:hAnsi="Arial" w:eastAsia="Arial" w:cs="Arial"/>
                <w:b/>
                <w:lang w:val="en-US"/>
              </w:rPr>
            </w:pPr>
          </w:p>
        </w:tc>
        <w:tc>
          <w:tcPr>
            <w:tcW w:w="8325" w:type="dxa"/>
            <w:tcMar/>
          </w:tcPr>
          <w:p w:rsidR="00BD0FD1" w:rsidP="004B3806" w:rsidRDefault="00BD0FD1" w14:paraId="0381EE84" w14:textId="77777777">
            <w:pPr>
              <w:jc w:val="both"/>
              <w:rPr>
                <w:rFonts w:ascii="Arial" w:hAnsi="Arial" w:eastAsia="Arial" w:cs="Arial"/>
                <w:b/>
                <w:u w:val="single"/>
                <w:lang w:val="en-US"/>
              </w:rPr>
            </w:pPr>
          </w:p>
        </w:tc>
      </w:tr>
      <w:tr w:rsidRPr="004330B3" w:rsidR="00BD0FD1" w:rsidTr="551E4BB1" w14:paraId="65977FF0" w14:textId="77777777">
        <w:tc>
          <w:tcPr>
            <w:tcW w:w="959" w:type="dxa"/>
            <w:tcMar/>
          </w:tcPr>
          <w:p w:rsidR="00BD0FD1" w:rsidP="004B3806" w:rsidRDefault="00356DEC" w14:paraId="070B7B75" w14:textId="77777777">
            <w:pPr>
              <w:jc w:val="both"/>
              <w:rPr>
                <w:rFonts w:ascii="Arial" w:hAnsi="Arial" w:eastAsia="Arial" w:cs="Arial"/>
                <w:lang w:val="en-US"/>
              </w:rPr>
            </w:pPr>
            <w:r>
              <w:rPr>
                <w:rFonts w:ascii="Arial" w:hAnsi="Arial" w:eastAsia="Arial" w:cs="Arial"/>
                <w:lang w:val="en-US"/>
              </w:rPr>
              <w:t>8</w:t>
            </w:r>
            <w:r w:rsidR="00BD0FD1">
              <w:rPr>
                <w:rFonts w:ascii="Arial" w:hAnsi="Arial" w:eastAsia="Arial" w:cs="Arial"/>
                <w:lang w:val="en-US"/>
              </w:rPr>
              <w:t>.1</w:t>
            </w:r>
          </w:p>
          <w:p w:rsidR="00C466E3" w:rsidP="004B3806" w:rsidRDefault="00C466E3" w14:paraId="5E8BFEDF" w14:textId="77777777">
            <w:pPr>
              <w:jc w:val="both"/>
              <w:rPr>
                <w:rFonts w:ascii="Arial" w:hAnsi="Arial" w:eastAsia="Arial" w:cs="Arial"/>
                <w:lang w:val="en-US"/>
              </w:rPr>
            </w:pPr>
          </w:p>
          <w:p w:rsidR="00C466E3" w:rsidP="004B3806" w:rsidRDefault="00C466E3" w14:paraId="3BBD9E85" w14:textId="77777777">
            <w:pPr>
              <w:jc w:val="both"/>
              <w:rPr>
                <w:rFonts w:ascii="Arial" w:hAnsi="Arial" w:eastAsia="Arial" w:cs="Arial"/>
                <w:lang w:val="en-US"/>
              </w:rPr>
            </w:pPr>
          </w:p>
          <w:p w:rsidR="00C466E3" w:rsidP="004B3806" w:rsidRDefault="00C466E3" w14:paraId="74772CE1" w14:textId="77777777">
            <w:pPr>
              <w:jc w:val="both"/>
              <w:rPr>
                <w:rFonts w:ascii="Arial" w:hAnsi="Arial" w:eastAsia="Arial" w:cs="Arial"/>
                <w:lang w:val="en-US"/>
              </w:rPr>
            </w:pPr>
          </w:p>
          <w:p w:rsidR="00660917" w:rsidP="004B3806" w:rsidRDefault="00660917" w14:paraId="08B0F75D" w14:textId="77777777">
            <w:pPr>
              <w:jc w:val="both"/>
              <w:rPr>
                <w:rFonts w:ascii="Arial" w:hAnsi="Arial" w:eastAsia="Arial" w:cs="Arial"/>
                <w:lang w:val="en-US"/>
              </w:rPr>
            </w:pPr>
          </w:p>
          <w:p w:rsidR="007975CC" w:rsidP="004B3806" w:rsidRDefault="00356DEC" w14:paraId="1B01A867" w14:textId="257B5D24">
            <w:pPr>
              <w:jc w:val="both"/>
              <w:rPr>
                <w:rFonts w:ascii="Arial" w:hAnsi="Arial" w:eastAsia="Arial" w:cs="Arial"/>
                <w:lang w:val="en-US"/>
              </w:rPr>
            </w:pPr>
            <w:r>
              <w:rPr>
                <w:rFonts w:ascii="Arial" w:hAnsi="Arial" w:eastAsia="Arial" w:cs="Arial"/>
                <w:lang w:val="en-US"/>
              </w:rPr>
              <w:t>8</w:t>
            </w:r>
            <w:r w:rsidR="00C466E3">
              <w:rPr>
                <w:rFonts w:ascii="Arial" w:hAnsi="Arial" w:eastAsia="Arial" w:cs="Arial"/>
                <w:lang w:val="en-US"/>
              </w:rPr>
              <w:t>.2</w:t>
            </w:r>
          </w:p>
          <w:p w:rsidR="007975CC" w:rsidP="004B3806" w:rsidRDefault="007975CC" w14:paraId="5C4FA858" w14:textId="77777777">
            <w:pPr>
              <w:jc w:val="both"/>
              <w:rPr>
                <w:rFonts w:ascii="Arial" w:hAnsi="Arial" w:eastAsia="Arial" w:cs="Arial"/>
                <w:lang w:val="en-US"/>
              </w:rPr>
            </w:pPr>
          </w:p>
          <w:p w:rsidR="00B33F85" w:rsidP="004B3806" w:rsidRDefault="00B33F85" w14:paraId="76CE52B9" w14:textId="77777777">
            <w:pPr>
              <w:jc w:val="both"/>
              <w:rPr>
                <w:rFonts w:ascii="Arial" w:hAnsi="Arial" w:eastAsia="Arial" w:cs="Arial"/>
                <w:lang w:val="en-US"/>
              </w:rPr>
            </w:pPr>
          </w:p>
          <w:p w:rsidR="00B33F85" w:rsidP="004B3806" w:rsidRDefault="00B33F85" w14:paraId="4DE31983" w14:textId="77777777">
            <w:pPr>
              <w:jc w:val="both"/>
              <w:rPr>
                <w:rFonts w:ascii="Arial" w:hAnsi="Arial" w:eastAsia="Arial" w:cs="Arial"/>
                <w:lang w:val="en-US"/>
              </w:rPr>
            </w:pPr>
          </w:p>
          <w:p w:rsidRPr="004330B3" w:rsidR="00B33F85" w:rsidP="004B3806" w:rsidRDefault="00B33F85" w14:paraId="29A64A37" w14:textId="709D2F18">
            <w:pPr>
              <w:jc w:val="both"/>
              <w:rPr>
                <w:rFonts w:ascii="Arial" w:hAnsi="Arial" w:eastAsia="Arial" w:cs="Arial"/>
                <w:lang w:val="en-US"/>
              </w:rPr>
            </w:pPr>
            <w:r>
              <w:rPr>
                <w:rFonts w:ascii="Arial" w:hAnsi="Arial" w:eastAsia="Arial" w:cs="Arial"/>
                <w:lang w:val="en-US"/>
              </w:rPr>
              <w:t>8.3</w:t>
            </w:r>
          </w:p>
        </w:tc>
        <w:tc>
          <w:tcPr>
            <w:tcW w:w="8325" w:type="dxa"/>
            <w:tcMar/>
          </w:tcPr>
          <w:p w:rsidRPr="00660917" w:rsidR="00660917" w:rsidP="004B3806" w:rsidRDefault="00660917" w14:paraId="3676C239" w14:textId="7DA9DA00">
            <w:pPr>
              <w:jc w:val="both"/>
              <w:rPr>
                <w:rFonts w:ascii="Arial" w:hAnsi="Arial" w:eastAsia="Arial" w:cs="Arial"/>
              </w:rPr>
            </w:pPr>
            <w:r>
              <w:rPr>
                <w:rFonts w:ascii="Arial" w:hAnsi="Arial" w:eastAsia="Arial" w:cs="Arial"/>
              </w:rPr>
              <w:t>T</w:t>
            </w:r>
            <w:r w:rsidRPr="00660917">
              <w:rPr>
                <w:rFonts w:ascii="Arial" w:hAnsi="Arial" w:eastAsia="Arial" w:cs="Arial"/>
              </w:rPr>
              <w:t xml:space="preserve">here is </w:t>
            </w:r>
            <w:r>
              <w:rPr>
                <w:rFonts w:ascii="Arial" w:hAnsi="Arial" w:eastAsia="Arial" w:cs="Arial"/>
              </w:rPr>
              <w:t xml:space="preserve">the </w:t>
            </w:r>
            <w:r w:rsidRPr="00660917">
              <w:rPr>
                <w:rFonts w:ascii="Arial" w:hAnsi="Arial" w:eastAsia="Arial" w:cs="Arial"/>
              </w:rPr>
              <w:t xml:space="preserve">risk that without PSB agreement there would be a delay in undertaking the review </w:t>
            </w:r>
            <w:proofErr w:type="gramStart"/>
            <w:r w:rsidRPr="00660917">
              <w:rPr>
                <w:rFonts w:ascii="Arial" w:hAnsi="Arial" w:eastAsia="Arial" w:cs="Arial"/>
              </w:rPr>
              <w:t>as a result of</w:t>
            </w:r>
            <w:proofErr w:type="gramEnd"/>
            <w:r w:rsidRPr="00660917">
              <w:rPr>
                <w:rFonts w:ascii="Arial" w:hAnsi="Arial" w:eastAsia="Arial" w:cs="Arial"/>
              </w:rPr>
              <w:t xml:space="preserve"> the negotiations that would be needed. This would impact the timescales in which the </w:t>
            </w:r>
            <w:r>
              <w:rPr>
                <w:rFonts w:ascii="Arial" w:hAnsi="Arial" w:eastAsia="Arial" w:cs="Arial"/>
              </w:rPr>
              <w:t>SUSR</w:t>
            </w:r>
            <w:r w:rsidRPr="00660917">
              <w:rPr>
                <w:rFonts w:ascii="Arial" w:hAnsi="Arial" w:eastAsia="Arial" w:cs="Arial"/>
              </w:rPr>
              <w:t xml:space="preserve"> would need to be undertaken as outlined in the statutory guidance</w:t>
            </w:r>
            <w:r>
              <w:rPr>
                <w:rFonts w:ascii="Arial" w:hAnsi="Arial" w:eastAsia="Arial" w:cs="Arial"/>
              </w:rPr>
              <w:t>.</w:t>
            </w:r>
            <w:r w:rsidRPr="00660917">
              <w:rPr>
                <w:rFonts w:ascii="Arial" w:hAnsi="Arial" w:eastAsia="Arial" w:cs="Arial"/>
              </w:rPr>
              <w:t xml:space="preserve"> </w:t>
            </w:r>
          </w:p>
          <w:p w:rsidR="00660917" w:rsidP="004B3806" w:rsidRDefault="00660917" w14:paraId="62BDCDB3" w14:textId="77777777">
            <w:pPr>
              <w:jc w:val="both"/>
              <w:rPr>
                <w:rFonts w:ascii="Arial" w:hAnsi="Arial" w:eastAsia="Arial" w:cs="Arial"/>
              </w:rPr>
            </w:pPr>
          </w:p>
          <w:p w:rsidR="00660917" w:rsidP="004B3806" w:rsidRDefault="00660917" w14:paraId="0505E345" w14:textId="203C0E16">
            <w:pPr>
              <w:jc w:val="both"/>
              <w:rPr>
                <w:rFonts w:ascii="Arial" w:hAnsi="Arial" w:eastAsia="Arial" w:cs="Arial"/>
              </w:rPr>
            </w:pPr>
            <w:r>
              <w:rPr>
                <w:rFonts w:ascii="Arial" w:hAnsi="Arial" w:eastAsia="Arial" w:cs="Arial"/>
              </w:rPr>
              <w:t>T</w:t>
            </w:r>
            <w:r w:rsidRPr="00660917">
              <w:rPr>
                <w:rFonts w:ascii="Arial" w:hAnsi="Arial" w:eastAsia="Arial" w:cs="Arial"/>
              </w:rPr>
              <w:t xml:space="preserve">here is </w:t>
            </w:r>
            <w:r>
              <w:rPr>
                <w:rFonts w:ascii="Arial" w:hAnsi="Arial" w:eastAsia="Arial" w:cs="Arial"/>
              </w:rPr>
              <w:t xml:space="preserve">the </w:t>
            </w:r>
            <w:r w:rsidRPr="00660917">
              <w:rPr>
                <w:rFonts w:ascii="Arial" w:hAnsi="Arial" w:eastAsia="Arial" w:cs="Arial"/>
              </w:rPr>
              <w:t xml:space="preserve">risk that without PSB agreement, there would be inconsistency in funding rates for </w:t>
            </w:r>
            <w:r>
              <w:rPr>
                <w:rFonts w:ascii="Arial" w:hAnsi="Arial" w:eastAsia="Arial" w:cs="Arial"/>
              </w:rPr>
              <w:t>SUSR DHR</w:t>
            </w:r>
            <w:r w:rsidRPr="00660917">
              <w:rPr>
                <w:rFonts w:ascii="Arial" w:hAnsi="Arial" w:eastAsia="Arial" w:cs="Arial"/>
              </w:rPr>
              <w:t xml:space="preserve"> reviewers as LAs can set their own rates based on funding available</w:t>
            </w:r>
            <w:r>
              <w:rPr>
                <w:rFonts w:ascii="Arial" w:hAnsi="Arial" w:eastAsia="Arial" w:cs="Arial"/>
              </w:rPr>
              <w:t>.</w:t>
            </w:r>
            <w:r w:rsidRPr="00660917">
              <w:rPr>
                <w:rFonts w:ascii="Arial" w:hAnsi="Arial" w:eastAsia="Arial" w:cs="Arial"/>
              </w:rPr>
              <w:t xml:space="preserve"> </w:t>
            </w:r>
          </w:p>
          <w:p w:rsidRPr="00660917" w:rsidR="00660917" w:rsidP="004B3806" w:rsidRDefault="00660917" w14:paraId="35116602" w14:textId="77777777">
            <w:pPr>
              <w:jc w:val="both"/>
              <w:rPr>
                <w:rFonts w:ascii="Arial" w:hAnsi="Arial" w:eastAsia="Arial" w:cs="Arial"/>
              </w:rPr>
            </w:pPr>
          </w:p>
          <w:p w:rsidRPr="00B33F85" w:rsidR="00660917" w:rsidP="004B3806" w:rsidRDefault="00660917" w14:paraId="4FE69709" w14:textId="7F5BB059">
            <w:pPr>
              <w:jc w:val="both"/>
              <w:rPr>
                <w:rFonts w:ascii="Arial" w:hAnsi="Arial" w:eastAsia="Arial" w:cs="Arial"/>
              </w:rPr>
            </w:pPr>
            <w:r>
              <w:rPr>
                <w:rFonts w:ascii="Arial" w:hAnsi="Arial" w:eastAsia="Arial" w:cs="Arial"/>
              </w:rPr>
              <w:t>T</w:t>
            </w:r>
            <w:r w:rsidRPr="00660917">
              <w:rPr>
                <w:rFonts w:ascii="Arial" w:hAnsi="Arial" w:eastAsia="Arial" w:cs="Arial"/>
              </w:rPr>
              <w:t xml:space="preserve">here is </w:t>
            </w:r>
            <w:r>
              <w:rPr>
                <w:rFonts w:ascii="Arial" w:hAnsi="Arial" w:eastAsia="Arial" w:cs="Arial"/>
              </w:rPr>
              <w:t xml:space="preserve">the </w:t>
            </w:r>
            <w:r w:rsidRPr="00660917">
              <w:rPr>
                <w:rFonts w:ascii="Arial" w:hAnsi="Arial" w:eastAsia="Arial" w:cs="Arial"/>
              </w:rPr>
              <w:t xml:space="preserve">risk that without PSB agreement, safeguarding board/unit will be liable for paying the cost for </w:t>
            </w:r>
            <w:r>
              <w:rPr>
                <w:rFonts w:ascii="Arial" w:hAnsi="Arial" w:eastAsia="Arial" w:cs="Arial"/>
              </w:rPr>
              <w:t>SUSR DHR</w:t>
            </w:r>
            <w:r w:rsidRPr="00660917">
              <w:rPr>
                <w:rFonts w:ascii="Arial" w:hAnsi="Arial" w:eastAsia="Arial" w:cs="Arial"/>
              </w:rPr>
              <w:t xml:space="preserve"> related reviews in the LAs that do not have an agreed funding formula. This is against WG guidance and there </w:t>
            </w:r>
            <w:proofErr w:type="gramStart"/>
            <w:r w:rsidRPr="00660917">
              <w:rPr>
                <w:rFonts w:ascii="Arial" w:hAnsi="Arial" w:eastAsia="Arial" w:cs="Arial"/>
              </w:rPr>
              <w:t>is</w:t>
            </w:r>
            <w:proofErr w:type="gramEnd"/>
            <w:r w:rsidRPr="00660917">
              <w:rPr>
                <w:rFonts w:ascii="Arial" w:hAnsi="Arial" w:eastAsia="Arial" w:cs="Arial"/>
              </w:rPr>
              <w:t xml:space="preserve"> not the costings/funds available for this</w:t>
            </w:r>
            <w:r>
              <w:rPr>
                <w:rFonts w:ascii="Arial" w:hAnsi="Arial" w:eastAsia="Arial" w:cs="Arial"/>
              </w:rPr>
              <w:t>.</w:t>
            </w:r>
          </w:p>
          <w:p w:rsidRPr="00DB1D1C" w:rsidR="00BD0FD1" w:rsidP="004B3806" w:rsidRDefault="00BD0FD1" w14:paraId="1601FEC5" w14:textId="137B6198">
            <w:pPr>
              <w:jc w:val="both"/>
              <w:rPr>
                <w:rFonts w:ascii="Arial" w:hAnsi="Arial" w:eastAsia="Arial" w:cs="Arial"/>
                <w:lang w:val="en-US"/>
              </w:rPr>
            </w:pPr>
          </w:p>
        </w:tc>
      </w:tr>
      <w:tr w:rsidRPr="004330B3" w:rsidR="00BD0FD1" w:rsidTr="551E4BB1" w14:paraId="0F081141" w14:textId="77777777">
        <w:tc>
          <w:tcPr>
            <w:tcW w:w="959" w:type="dxa"/>
            <w:tcMar/>
          </w:tcPr>
          <w:p w:rsidRPr="004330B3" w:rsidR="00BD0FD1" w:rsidP="004B3806" w:rsidRDefault="00356DEC" w14:paraId="0014191F" w14:textId="77777777">
            <w:pPr>
              <w:jc w:val="both"/>
              <w:rPr>
                <w:rFonts w:ascii="Arial" w:hAnsi="Arial" w:eastAsia="Arial" w:cs="Arial"/>
                <w:b/>
                <w:lang w:val="en-US"/>
              </w:rPr>
            </w:pPr>
            <w:r>
              <w:rPr>
                <w:rFonts w:ascii="Arial" w:hAnsi="Arial" w:eastAsia="Arial" w:cs="Arial"/>
                <w:b/>
                <w:lang w:val="en-US"/>
              </w:rPr>
              <w:t>9</w:t>
            </w:r>
            <w:r w:rsidRPr="004330B3" w:rsidR="00BD0FD1">
              <w:rPr>
                <w:rFonts w:ascii="Arial" w:hAnsi="Arial" w:eastAsia="Arial" w:cs="Arial"/>
                <w:b/>
                <w:lang w:val="en-US"/>
              </w:rPr>
              <w:t>.</w:t>
            </w:r>
          </w:p>
        </w:tc>
        <w:tc>
          <w:tcPr>
            <w:tcW w:w="8325" w:type="dxa"/>
            <w:tcMar/>
          </w:tcPr>
          <w:p w:rsidRPr="007E2520" w:rsidR="00BD0FD1" w:rsidP="004B3806" w:rsidRDefault="00BD0FD1" w14:paraId="1E146233" w14:textId="77777777">
            <w:pPr>
              <w:jc w:val="both"/>
              <w:rPr>
                <w:rFonts w:ascii="Arial" w:hAnsi="Arial" w:eastAsia="Arial" w:cs="Arial"/>
                <w:b/>
                <w:lang w:val="en-US"/>
              </w:rPr>
            </w:pPr>
            <w:r w:rsidRPr="007E2520">
              <w:rPr>
                <w:rFonts w:ascii="Arial" w:hAnsi="Arial" w:eastAsia="Arial" w:cs="Arial"/>
                <w:b/>
                <w:lang w:val="en-US"/>
              </w:rPr>
              <w:t>Conclusion/summary</w:t>
            </w:r>
          </w:p>
        </w:tc>
      </w:tr>
      <w:tr w:rsidRPr="004330B3" w:rsidR="00BD0FD1" w:rsidTr="551E4BB1" w14:paraId="1E96AA47" w14:textId="77777777">
        <w:tc>
          <w:tcPr>
            <w:tcW w:w="959" w:type="dxa"/>
            <w:tcMar/>
          </w:tcPr>
          <w:p w:rsidRPr="004330B3" w:rsidR="00BD0FD1" w:rsidP="004B3806" w:rsidRDefault="00BD0FD1" w14:paraId="438A99BE" w14:textId="77777777">
            <w:pPr>
              <w:jc w:val="both"/>
              <w:rPr>
                <w:rFonts w:ascii="Arial" w:hAnsi="Arial" w:eastAsia="Arial" w:cs="Arial"/>
                <w:lang w:val="en-US"/>
              </w:rPr>
            </w:pPr>
          </w:p>
        </w:tc>
        <w:tc>
          <w:tcPr>
            <w:tcW w:w="8325" w:type="dxa"/>
            <w:tcMar/>
          </w:tcPr>
          <w:p w:rsidRPr="004330B3" w:rsidR="00BD0FD1" w:rsidP="004B3806" w:rsidRDefault="00BD0FD1" w14:paraId="3738F187" w14:textId="77777777">
            <w:pPr>
              <w:jc w:val="both"/>
              <w:rPr>
                <w:rFonts w:ascii="Arial" w:hAnsi="Arial" w:eastAsia="Arial" w:cs="Arial"/>
                <w:lang w:val="en-US"/>
              </w:rPr>
            </w:pPr>
          </w:p>
        </w:tc>
      </w:tr>
      <w:tr w:rsidRPr="004330B3" w:rsidR="00BD0FD1" w:rsidTr="551E4BB1" w14:paraId="2DFB95D8" w14:textId="77777777">
        <w:tc>
          <w:tcPr>
            <w:tcW w:w="959" w:type="dxa"/>
            <w:tcMar/>
          </w:tcPr>
          <w:p w:rsidR="00BD0FD1" w:rsidP="004B3806" w:rsidRDefault="00356DEC" w14:paraId="150F1E4B" w14:textId="77777777">
            <w:pPr>
              <w:jc w:val="both"/>
              <w:rPr>
                <w:rFonts w:ascii="Arial" w:hAnsi="Arial" w:eastAsia="Arial" w:cs="Arial"/>
                <w:lang w:val="en-US"/>
              </w:rPr>
            </w:pPr>
            <w:r>
              <w:rPr>
                <w:rFonts w:ascii="Arial" w:hAnsi="Arial" w:eastAsia="Arial" w:cs="Arial"/>
                <w:lang w:val="en-US"/>
              </w:rPr>
              <w:t>9</w:t>
            </w:r>
            <w:r w:rsidRPr="004330B3" w:rsidR="00BD0FD1">
              <w:rPr>
                <w:rFonts w:ascii="Arial" w:hAnsi="Arial" w:eastAsia="Arial" w:cs="Arial"/>
                <w:lang w:val="en-US"/>
              </w:rPr>
              <w:t>.1</w:t>
            </w:r>
          </w:p>
          <w:p w:rsidR="006C2C72" w:rsidP="004B3806" w:rsidRDefault="006C2C72" w14:paraId="0009D514" w14:textId="77777777">
            <w:pPr>
              <w:jc w:val="both"/>
              <w:rPr>
                <w:rFonts w:ascii="Arial" w:hAnsi="Arial" w:eastAsia="Arial" w:cs="Arial"/>
                <w:lang w:val="en-US"/>
              </w:rPr>
            </w:pPr>
          </w:p>
          <w:p w:rsidR="00DE1E6C" w:rsidP="004B3806" w:rsidRDefault="00DE1E6C" w14:paraId="48A3946D" w14:textId="77777777">
            <w:pPr>
              <w:jc w:val="both"/>
              <w:rPr>
                <w:rFonts w:ascii="Arial" w:hAnsi="Arial" w:eastAsia="Arial" w:cs="Arial"/>
                <w:lang w:val="en-US"/>
              </w:rPr>
            </w:pPr>
          </w:p>
          <w:p w:rsidR="00197F33" w:rsidP="004B3806" w:rsidRDefault="00356DEC" w14:paraId="4681EA72" w14:textId="77777777">
            <w:pPr>
              <w:jc w:val="both"/>
              <w:rPr>
                <w:rFonts w:ascii="Arial" w:hAnsi="Arial" w:eastAsia="Arial" w:cs="Arial"/>
                <w:lang w:val="en-US"/>
              </w:rPr>
            </w:pPr>
            <w:r>
              <w:rPr>
                <w:rFonts w:ascii="Arial" w:hAnsi="Arial" w:eastAsia="Arial" w:cs="Arial"/>
                <w:lang w:val="en-US"/>
              </w:rPr>
              <w:t>9</w:t>
            </w:r>
            <w:r w:rsidR="00197F33">
              <w:rPr>
                <w:rFonts w:ascii="Arial" w:hAnsi="Arial" w:eastAsia="Arial" w:cs="Arial"/>
                <w:lang w:val="en-US"/>
              </w:rPr>
              <w:t>.2</w:t>
            </w:r>
          </w:p>
          <w:p w:rsidR="003154CD" w:rsidP="004B3806" w:rsidRDefault="003154CD" w14:paraId="010BF0E2" w14:textId="77777777">
            <w:pPr>
              <w:jc w:val="both"/>
              <w:rPr>
                <w:rFonts w:ascii="Arial" w:hAnsi="Arial" w:eastAsia="Arial" w:cs="Arial"/>
                <w:lang w:val="en-US"/>
              </w:rPr>
            </w:pPr>
          </w:p>
          <w:p w:rsidR="003154CD" w:rsidP="004B3806" w:rsidRDefault="003154CD" w14:paraId="7CFBF161" w14:textId="77777777">
            <w:pPr>
              <w:jc w:val="both"/>
              <w:rPr>
                <w:rFonts w:ascii="Arial" w:hAnsi="Arial" w:eastAsia="Arial" w:cs="Arial"/>
                <w:lang w:val="en-US"/>
              </w:rPr>
            </w:pPr>
          </w:p>
          <w:p w:rsidR="00660917" w:rsidP="004B3806" w:rsidRDefault="00660917" w14:paraId="7A09D7A0" w14:textId="77777777">
            <w:pPr>
              <w:jc w:val="both"/>
              <w:rPr>
                <w:rFonts w:ascii="Arial" w:hAnsi="Arial" w:eastAsia="Arial" w:cs="Arial"/>
                <w:lang w:val="en-US"/>
              </w:rPr>
            </w:pPr>
          </w:p>
          <w:p w:rsidRPr="004330B3" w:rsidR="00660917" w:rsidP="004B3806" w:rsidRDefault="00660917" w14:paraId="4224BCEF" w14:textId="67A6A10C">
            <w:pPr>
              <w:jc w:val="both"/>
              <w:rPr>
                <w:rFonts w:ascii="Arial" w:hAnsi="Arial" w:eastAsia="Arial" w:cs="Arial"/>
                <w:lang w:val="en-US"/>
              </w:rPr>
            </w:pPr>
            <w:r>
              <w:rPr>
                <w:rFonts w:ascii="Arial" w:hAnsi="Arial" w:eastAsia="Arial" w:cs="Arial"/>
                <w:lang w:val="en-US"/>
              </w:rPr>
              <w:t>9.3</w:t>
            </w:r>
          </w:p>
        </w:tc>
        <w:tc>
          <w:tcPr>
            <w:tcW w:w="8325" w:type="dxa"/>
            <w:tcMar/>
          </w:tcPr>
          <w:p w:rsidR="00660917" w:rsidP="004B3806" w:rsidRDefault="00660917" w14:paraId="5B4E60B0" w14:textId="77777777">
            <w:pPr>
              <w:jc w:val="both"/>
              <w:rPr>
                <w:rFonts w:ascii="Arial" w:hAnsi="Arial" w:eastAsia="Arial" w:cs="Arial"/>
                <w:lang w:val="en-US"/>
              </w:rPr>
            </w:pPr>
            <w:r>
              <w:rPr>
                <w:rFonts w:ascii="Arial" w:hAnsi="Arial" w:eastAsia="Arial" w:cs="Arial"/>
                <w:lang w:val="en-US"/>
              </w:rPr>
              <w:t>Funding of reviewers, where required, needs formal agreement to ensure they are undertaken in good time and limits the impact on families.</w:t>
            </w:r>
          </w:p>
          <w:p w:rsidR="00660917" w:rsidP="004B3806" w:rsidRDefault="00660917" w14:paraId="330690FD" w14:textId="77777777">
            <w:pPr>
              <w:jc w:val="both"/>
              <w:rPr>
                <w:rFonts w:ascii="Arial" w:hAnsi="Arial" w:eastAsia="Arial" w:cs="Arial"/>
                <w:lang w:val="en-US"/>
              </w:rPr>
            </w:pPr>
          </w:p>
          <w:p w:rsidR="00660917" w:rsidP="004B3806" w:rsidRDefault="00660917" w14:paraId="0F16E75C" w14:textId="77777777">
            <w:pPr>
              <w:jc w:val="both"/>
              <w:rPr>
                <w:rFonts w:ascii="Arial" w:hAnsi="Arial" w:eastAsia="Arial" w:cs="Arial"/>
                <w:lang w:val="en-US"/>
              </w:rPr>
            </w:pPr>
            <w:r>
              <w:rPr>
                <w:rFonts w:ascii="Arial" w:hAnsi="Arial" w:eastAsia="Arial" w:cs="Arial"/>
                <w:lang w:val="en-US"/>
              </w:rPr>
              <w:t>This process supports the professional approach to undertaking domestic-related SUSRs and puts in place relevant professionals and resources to ascertain the requirement and subsequent undertaking.</w:t>
            </w:r>
          </w:p>
          <w:p w:rsidR="00660917" w:rsidP="004B3806" w:rsidRDefault="00660917" w14:paraId="5E317C5A" w14:textId="77777777">
            <w:pPr>
              <w:jc w:val="both"/>
              <w:rPr>
                <w:rFonts w:ascii="Arial" w:hAnsi="Arial" w:eastAsia="Arial" w:cs="Arial"/>
                <w:lang w:val="en-US"/>
              </w:rPr>
            </w:pPr>
          </w:p>
          <w:p w:rsidR="006C2C72" w:rsidP="004B3806" w:rsidRDefault="006C2C72" w14:paraId="1670E476" w14:textId="7F06A459">
            <w:pPr>
              <w:jc w:val="both"/>
              <w:rPr>
                <w:rFonts w:ascii="Arial" w:hAnsi="Arial" w:eastAsia="Arial" w:cs="Arial"/>
                <w:lang w:val="en-US"/>
              </w:rPr>
            </w:pPr>
            <w:r>
              <w:rPr>
                <w:rFonts w:ascii="Arial" w:hAnsi="Arial" w:eastAsia="Arial" w:cs="Arial"/>
                <w:lang w:val="en-US"/>
              </w:rPr>
              <w:t>Clearly, th</w:t>
            </w:r>
            <w:r w:rsidR="009F3D1A">
              <w:rPr>
                <w:rFonts w:ascii="Arial" w:hAnsi="Arial" w:eastAsia="Arial" w:cs="Arial"/>
                <w:lang w:val="en-US"/>
              </w:rPr>
              <w:t>is approach</w:t>
            </w:r>
            <w:r w:rsidR="008C2394">
              <w:rPr>
                <w:rFonts w:ascii="Arial" w:hAnsi="Arial" w:eastAsia="Arial" w:cs="Arial"/>
                <w:lang w:val="en-US"/>
              </w:rPr>
              <w:t xml:space="preserve"> provides a more supportive</w:t>
            </w:r>
            <w:r w:rsidR="00361075">
              <w:rPr>
                <w:rFonts w:ascii="Arial" w:hAnsi="Arial" w:eastAsia="Arial" w:cs="Arial"/>
                <w:lang w:val="en-US"/>
              </w:rPr>
              <w:t>, coordinated</w:t>
            </w:r>
            <w:r w:rsidR="008C2394">
              <w:rPr>
                <w:rFonts w:ascii="Arial" w:hAnsi="Arial" w:eastAsia="Arial" w:cs="Arial"/>
                <w:lang w:val="en-US"/>
              </w:rPr>
              <w:t xml:space="preserve"> and</w:t>
            </w:r>
            <w:r w:rsidR="00D27F92">
              <w:rPr>
                <w:rFonts w:ascii="Arial" w:hAnsi="Arial" w:eastAsia="Arial" w:cs="Arial"/>
                <w:lang w:val="en-US"/>
              </w:rPr>
              <w:t xml:space="preserve"> </w:t>
            </w:r>
            <w:r w:rsidR="009F3D1A">
              <w:rPr>
                <w:rFonts w:ascii="Arial" w:hAnsi="Arial" w:eastAsia="Arial" w:cs="Arial"/>
                <w:lang w:val="en-US"/>
              </w:rPr>
              <w:t xml:space="preserve">professional </w:t>
            </w:r>
            <w:r w:rsidR="00197F33">
              <w:rPr>
                <w:rFonts w:ascii="Arial" w:hAnsi="Arial" w:eastAsia="Arial" w:cs="Arial"/>
                <w:lang w:val="en-US"/>
              </w:rPr>
              <w:t xml:space="preserve">safeguarding </w:t>
            </w:r>
            <w:r w:rsidR="009F3D1A">
              <w:rPr>
                <w:rFonts w:ascii="Arial" w:hAnsi="Arial" w:eastAsia="Arial" w:cs="Arial"/>
                <w:lang w:val="en-US"/>
              </w:rPr>
              <w:t xml:space="preserve">approach </w:t>
            </w:r>
            <w:proofErr w:type="gramStart"/>
            <w:r w:rsidR="00840D26">
              <w:rPr>
                <w:rFonts w:ascii="Arial" w:hAnsi="Arial" w:eastAsia="Arial" w:cs="Arial"/>
                <w:lang w:val="en-US"/>
              </w:rPr>
              <w:t>in regard to</w:t>
            </w:r>
            <w:proofErr w:type="gramEnd"/>
            <w:r w:rsidR="009F3D1A">
              <w:rPr>
                <w:rFonts w:ascii="Arial" w:hAnsi="Arial" w:eastAsia="Arial" w:cs="Arial"/>
                <w:lang w:val="en-US"/>
              </w:rPr>
              <w:t xml:space="preserve"> t</w:t>
            </w:r>
            <w:r w:rsidR="00197F33">
              <w:rPr>
                <w:rFonts w:ascii="Arial" w:hAnsi="Arial" w:eastAsia="Arial" w:cs="Arial"/>
                <w:lang w:val="en-US"/>
              </w:rPr>
              <w:t xml:space="preserve">he undertaking of DHR’s. </w:t>
            </w:r>
            <w:r w:rsidR="00361075">
              <w:rPr>
                <w:rFonts w:ascii="Arial" w:hAnsi="Arial" w:eastAsia="Arial" w:cs="Arial"/>
                <w:lang w:val="en-US"/>
              </w:rPr>
              <w:t xml:space="preserve">It </w:t>
            </w:r>
            <w:r w:rsidRPr="00282328" w:rsidR="008C2394">
              <w:rPr>
                <w:rFonts w:ascii="Arial" w:hAnsi="Arial" w:eastAsia="Arial" w:cs="Arial"/>
                <w:lang w:val="en-US"/>
              </w:rPr>
              <w:t xml:space="preserve">offers a </w:t>
            </w:r>
            <w:proofErr w:type="gramStart"/>
            <w:r w:rsidRPr="00282328" w:rsidR="008C2394">
              <w:rPr>
                <w:rFonts w:ascii="Arial" w:hAnsi="Arial" w:eastAsia="Arial" w:cs="Arial"/>
                <w:lang w:val="en-US"/>
              </w:rPr>
              <w:t>more timely</w:t>
            </w:r>
            <w:proofErr w:type="gramEnd"/>
            <w:r w:rsidRPr="00282328" w:rsidR="008C2394">
              <w:rPr>
                <w:rFonts w:ascii="Arial" w:hAnsi="Arial" w:eastAsia="Arial" w:cs="Arial"/>
                <w:lang w:val="en-US"/>
              </w:rPr>
              <w:t xml:space="preserve"> approach, where lessons learned can be shared more quickly with a wider workforce</w:t>
            </w:r>
            <w:r w:rsidR="00361075">
              <w:rPr>
                <w:rFonts w:ascii="Arial" w:hAnsi="Arial" w:eastAsia="Arial" w:cs="Arial"/>
                <w:lang w:val="en-US"/>
              </w:rPr>
              <w:t>, using a tested and well-established structure</w:t>
            </w:r>
            <w:r w:rsidRPr="00282328" w:rsidR="008C2394">
              <w:rPr>
                <w:rFonts w:ascii="Arial" w:hAnsi="Arial" w:eastAsia="Arial" w:cs="Arial"/>
                <w:lang w:val="en-US"/>
              </w:rPr>
              <w:t>.  This method also provides</w:t>
            </w:r>
            <w:r w:rsidRPr="00282328" w:rsidR="00197F33">
              <w:rPr>
                <w:rFonts w:ascii="Arial" w:hAnsi="Arial" w:eastAsia="Arial" w:cs="Arial"/>
                <w:lang w:val="en-US"/>
              </w:rPr>
              <w:t xml:space="preserve"> a </w:t>
            </w:r>
            <w:r w:rsidRPr="00282328" w:rsidR="008C2394">
              <w:rPr>
                <w:rFonts w:ascii="Arial" w:hAnsi="Arial" w:eastAsia="Arial" w:cs="Arial"/>
                <w:lang w:val="en-US"/>
              </w:rPr>
              <w:t>single review process and therefore a more empathetic approach towards bereaved</w:t>
            </w:r>
            <w:r w:rsidRPr="00282328" w:rsidR="00197F33">
              <w:rPr>
                <w:rFonts w:ascii="Arial" w:hAnsi="Arial" w:eastAsia="Arial" w:cs="Arial"/>
                <w:lang w:val="en-US"/>
              </w:rPr>
              <w:t xml:space="preserve"> families</w:t>
            </w:r>
            <w:r w:rsidRPr="00282328" w:rsidR="008C2394">
              <w:rPr>
                <w:rFonts w:ascii="Arial" w:hAnsi="Arial" w:eastAsia="Arial" w:cs="Arial"/>
                <w:lang w:val="en-US"/>
              </w:rPr>
              <w:t>.</w:t>
            </w:r>
            <w:r w:rsidR="00DE1E6C">
              <w:rPr>
                <w:rFonts w:ascii="Arial" w:hAnsi="Arial" w:eastAsia="Arial" w:cs="Arial"/>
                <w:lang w:val="en-US"/>
              </w:rPr>
              <w:t xml:space="preserve"> </w:t>
            </w:r>
          </w:p>
          <w:p w:rsidRPr="004330B3" w:rsidR="004B3806" w:rsidP="004B3806" w:rsidRDefault="004B3806" w14:paraId="13DA04EC" w14:textId="77777777">
            <w:pPr>
              <w:jc w:val="both"/>
              <w:rPr>
                <w:rFonts w:ascii="Arial" w:hAnsi="Arial" w:eastAsia="Arial" w:cs="Arial"/>
                <w:lang w:val="en-US"/>
              </w:rPr>
            </w:pPr>
          </w:p>
        </w:tc>
      </w:tr>
      <w:tr w:rsidRPr="004330B3" w:rsidR="00BD0FD1" w:rsidTr="551E4BB1" w14:paraId="6BD892AB" w14:textId="77777777">
        <w:tc>
          <w:tcPr>
            <w:tcW w:w="959" w:type="dxa"/>
            <w:tcMar/>
          </w:tcPr>
          <w:p w:rsidRPr="004330B3" w:rsidR="00BD0FD1" w:rsidP="004B3806" w:rsidRDefault="00356DEC" w14:paraId="27B05D95" w14:textId="77777777">
            <w:pPr>
              <w:jc w:val="both"/>
              <w:rPr>
                <w:rFonts w:ascii="Arial" w:hAnsi="Arial" w:eastAsia="Arial" w:cs="Arial"/>
                <w:b/>
                <w:lang w:val="en-US"/>
              </w:rPr>
            </w:pPr>
            <w:r>
              <w:rPr>
                <w:rFonts w:ascii="Arial" w:hAnsi="Arial" w:eastAsia="Arial" w:cs="Arial"/>
                <w:b/>
                <w:lang w:val="en-US"/>
              </w:rPr>
              <w:t>10</w:t>
            </w:r>
            <w:r w:rsidRPr="004330B3" w:rsidR="00BD0FD1">
              <w:rPr>
                <w:rFonts w:ascii="Arial" w:hAnsi="Arial" w:eastAsia="Arial" w:cs="Arial"/>
                <w:b/>
                <w:lang w:val="en-US"/>
              </w:rPr>
              <w:t>.</w:t>
            </w:r>
          </w:p>
        </w:tc>
        <w:tc>
          <w:tcPr>
            <w:tcW w:w="8325" w:type="dxa"/>
            <w:tcMar/>
          </w:tcPr>
          <w:p w:rsidRPr="007E2520" w:rsidR="00BD0FD1" w:rsidP="004B3806" w:rsidRDefault="00BD0FD1" w14:paraId="3402D600" w14:textId="77777777">
            <w:pPr>
              <w:jc w:val="both"/>
              <w:rPr>
                <w:rFonts w:ascii="Arial" w:hAnsi="Arial" w:eastAsia="Arial" w:cs="Arial"/>
                <w:b/>
                <w:lang w:val="en-US"/>
              </w:rPr>
            </w:pPr>
            <w:r w:rsidRPr="007E2520">
              <w:rPr>
                <w:rFonts w:ascii="Arial" w:hAnsi="Arial" w:eastAsia="Arial" w:cs="Arial"/>
                <w:b/>
                <w:lang w:val="en-US"/>
              </w:rPr>
              <w:t>Recommendation(s)</w:t>
            </w:r>
          </w:p>
        </w:tc>
      </w:tr>
      <w:tr w:rsidRPr="004330B3" w:rsidR="00BD0FD1" w:rsidTr="551E4BB1" w14:paraId="7EAE6CC0" w14:textId="77777777">
        <w:tc>
          <w:tcPr>
            <w:tcW w:w="959" w:type="dxa"/>
            <w:tcMar/>
          </w:tcPr>
          <w:p w:rsidRPr="004330B3" w:rsidR="00BD0FD1" w:rsidP="004B3806" w:rsidRDefault="00BD0FD1" w14:paraId="6E7F8DB3" w14:textId="77777777">
            <w:pPr>
              <w:jc w:val="both"/>
              <w:rPr>
                <w:rFonts w:ascii="Arial" w:hAnsi="Arial" w:eastAsia="Arial" w:cs="Arial"/>
                <w:b/>
                <w:lang w:val="en-US"/>
              </w:rPr>
            </w:pPr>
          </w:p>
        </w:tc>
        <w:tc>
          <w:tcPr>
            <w:tcW w:w="8325" w:type="dxa"/>
            <w:tcMar/>
          </w:tcPr>
          <w:p w:rsidRPr="004330B3" w:rsidR="00BD0FD1" w:rsidP="004B3806" w:rsidRDefault="00BD0FD1" w14:paraId="2E6BF54E" w14:textId="77777777">
            <w:pPr>
              <w:jc w:val="both"/>
              <w:rPr>
                <w:rFonts w:ascii="Arial" w:hAnsi="Arial" w:eastAsia="Arial" w:cs="Arial"/>
                <w:b/>
                <w:lang w:val="en-US"/>
              </w:rPr>
            </w:pPr>
          </w:p>
        </w:tc>
      </w:tr>
      <w:tr w:rsidRPr="004330B3" w:rsidR="00BD0FD1" w:rsidTr="551E4BB1" w14:paraId="06957D65" w14:textId="77777777">
        <w:tc>
          <w:tcPr>
            <w:tcW w:w="959" w:type="dxa"/>
            <w:tcMar/>
          </w:tcPr>
          <w:p w:rsidRPr="00A363E7" w:rsidR="00C37204" w:rsidP="004B3806" w:rsidRDefault="00356DEC" w14:paraId="048F0388" w14:textId="73B4822C">
            <w:pPr>
              <w:jc w:val="both"/>
              <w:rPr>
                <w:rFonts w:ascii="Arial" w:hAnsi="Arial" w:eastAsia="Arial" w:cs="Arial"/>
                <w:lang w:val="en-US"/>
              </w:rPr>
            </w:pPr>
            <w:r w:rsidRPr="00A363E7">
              <w:rPr>
                <w:rFonts w:ascii="Arial" w:hAnsi="Arial" w:eastAsia="Arial" w:cs="Arial"/>
                <w:lang w:val="en-US"/>
              </w:rPr>
              <w:lastRenderedPageBreak/>
              <w:t>10</w:t>
            </w:r>
            <w:r w:rsidRPr="00A363E7" w:rsidR="00BD0FD1">
              <w:rPr>
                <w:rFonts w:ascii="Arial" w:hAnsi="Arial" w:eastAsia="Arial" w:cs="Arial"/>
                <w:lang w:val="en-US"/>
              </w:rPr>
              <w:t>.1</w:t>
            </w:r>
          </w:p>
        </w:tc>
        <w:tc>
          <w:tcPr>
            <w:tcW w:w="8325" w:type="dxa"/>
            <w:tcMar/>
          </w:tcPr>
          <w:p w:rsidRPr="00A363E7" w:rsidR="00BD0FD1" w:rsidP="004B3806" w:rsidRDefault="00CD2143" w14:paraId="7D871C98" w14:textId="56A49B42">
            <w:pPr>
              <w:jc w:val="both"/>
              <w:rPr>
                <w:rFonts w:ascii="Arial" w:hAnsi="Arial" w:eastAsia="Arial" w:cs="Arial"/>
                <w:lang w:val="en-US"/>
              </w:rPr>
            </w:pPr>
            <w:r w:rsidRPr="00A363E7">
              <w:rPr>
                <w:rFonts w:ascii="Arial" w:hAnsi="Arial" w:eastAsia="Arial" w:cs="Arial"/>
                <w:lang w:val="en-US"/>
              </w:rPr>
              <w:t>Gwent Public Service Board</w:t>
            </w:r>
            <w:r w:rsidRPr="00A363E7" w:rsidR="00290542">
              <w:rPr>
                <w:rFonts w:ascii="Arial" w:hAnsi="Arial" w:eastAsia="Arial" w:cs="Arial"/>
                <w:lang w:val="en-US"/>
              </w:rPr>
              <w:t xml:space="preserve"> agrees</w:t>
            </w:r>
            <w:r w:rsidRPr="00A363E7" w:rsidR="00AD6293">
              <w:rPr>
                <w:rFonts w:ascii="Arial" w:hAnsi="Arial" w:eastAsia="Arial" w:cs="Arial"/>
                <w:lang w:val="en-US"/>
              </w:rPr>
              <w:t xml:space="preserve"> to</w:t>
            </w:r>
            <w:r w:rsidRPr="00A363E7" w:rsidR="00290542">
              <w:rPr>
                <w:rFonts w:ascii="Arial" w:hAnsi="Arial" w:eastAsia="Arial" w:cs="Arial"/>
                <w:lang w:val="en-US"/>
              </w:rPr>
              <w:t>:</w:t>
            </w:r>
          </w:p>
          <w:p w:rsidRPr="00A363E7" w:rsidR="00290542" w:rsidP="004B3806" w:rsidRDefault="00290542" w14:paraId="4360E928" w14:textId="77777777">
            <w:pPr>
              <w:jc w:val="both"/>
              <w:rPr>
                <w:rFonts w:ascii="Arial" w:hAnsi="Arial" w:eastAsia="Arial" w:cs="Arial"/>
                <w:sz w:val="20"/>
                <w:lang w:val="en-US"/>
              </w:rPr>
            </w:pPr>
          </w:p>
          <w:p w:rsidRPr="00A363E7" w:rsidR="00C37204" w:rsidP="004B3806" w:rsidRDefault="00361075" w14:paraId="77DD79C5" w14:textId="227A6650">
            <w:pPr>
              <w:jc w:val="both"/>
              <w:rPr>
                <w:rFonts w:ascii="Arial" w:hAnsi="Arial" w:eastAsia="Arial" w:cs="Arial"/>
                <w:lang w:val="en-US"/>
              </w:rPr>
            </w:pPr>
            <w:r w:rsidRPr="00A363E7">
              <w:rPr>
                <w:rFonts w:ascii="Arial" w:hAnsi="Arial" w:eastAsia="Arial" w:cs="Arial"/>
                <w:lang w:val="en-US"/>
              </w:rPr>
              <w:t>A</w:t>
            </w:r>
            <w:r w:rsidRPr="00A363E7" w:rsidR="00197F33">
              <w:rPr>
                <w:rFonts w:ascii="Arial" w:hAnsi="Arial" w:eastAsia="Arial" w:cs="Arial"/>
                <w:lang w:val="en-US"/>
              </w:rPr>
              <w:t xml:space="preserve">gree the funding formula set out in </w:t>
            </w:r>
            <w:r w:rsidRPr="00A363E7" w:rsidR="00356DEC">
              <w:rPr>
                <w:rFonts w:ascii="Arial" w:hAnsi="Arial" w:eastAsia="Arial" w:cs="Arial"/>
                <w:lang w:val="en-US"/>
              </w:rPr>
              <w:t>6</w:t>
            </w:r>
            <w:r w:rsidRPr="00A363E7" w:rsidR="003154CD">
              <w:rPr>
                <w:rFonts w:ascii="Arial" w:hAnsi="Arial" w:eastAsia="Arial" w:cs="Arial"/>
                <w:lang w:val="en-US"/>
              </w:rPr>
              <w:t>.</w:t>
            </w:r>
            <w:r w:rsidRPr="00A363E7" w:rsidR="00A363E7">
              <w:rPr>
                <w:rFonts w:ascii="Arial" w:hAnsi="Arial" w:eastAsia="Arial" w:cs="Arial"/>
                <w:lang w:val="en-US"/>
              </w:rPr>
              <w:t>3</w:t>
            </w:r>
            <w:r w:rsidRPr="00A363E7" w:rsidR="003154CD">
              <w:rPr>
                <w:rFonts w:ascii="Arial" w:hAnsi="Arial" w:eastAsia="Arial" w:cs="Arial"/>
                <w:lang w:val="en-US"/>
              </w:rPr>
              <w:t xml:space="preserve"> of this report when a </w:t>
            </w:r>
            <w:r w:rsidRPr="00A363E7" w:rsidR="00A363E7">
              <w:rPr>
                <w:rFonts w:ascii="Arial" w:hAnsi="Arial" w:eastAsia="Arial" w:cs="Arial"/>
                <w:lang w:val="en-US"/>
              </w:rPr>
              <w:t xml:space="preserve">reviewer cost arises in relation to a </w:t>
            </w:r>
            <w:r w:rsidRPr="00A363E7" w:rsidR="003154CD">
              <w:rPr>
                <w:rFonts w:ascii="Arial" w:hAnsi="Arial" w:eastAsia="Arial" w:cs="Arial"/>
                <w:lang w:val="en-US"/>
              </w:rPr>
              <w:t>DHR</w:t>
            </w:r>
            <w:r w:rsidRPr="00A363E7" w:rsidR="00A363E7">
              <w:rPr>
                <w:rFonts w:ascii="Arial" w:hAnsi="Arial" w:eastAsia="Arial" w:cs="Arial"/>
                <w:lang w:val="en-US"/>
              </w:rPr>
              <w:t xml:space="preserve"> in Gwent</w:t>
            </w:r>
            <w:r w:rsidRPr="00A363E7" w:rsidR="001C714A">
              <w:rPr>
                <w:rFonts w:ascii="Arial" w:hAnsi="Arial" w:eastAsia="Arial" w:cs="Arial"/>
                <w:lang w:val="en-US"/>
              </w:rPr>
              <w:t xml:space="preserve">. </w:t>
            </w:r>
          </w:p>
        </w:tc>
      </w:tr>
      <w:tr w:rsidRPr="004330B3" w:rsidR="00BD0FD1" w:rsidTr="551E4BB1" w14:paraId="7B5D5453" w14:textId="77777777">
        <w:tc>
          <w:tcPr>
            <w:tcW w:w="959" w:type="dxa"/>
            <w:tcMar/>
          </w:tcPr>
          <w:p w:rsidRPr="004330B3" w:rsidR="00BD0FD1" w:rsidP="004B3806" w:rsidRDefault="00BD0FD1" w14:paraId="2FF844DD" w14:textId="77777777">
            <w:pPr>
              <w:jc w:val="both"/>
              <w:rPr>
                <w:rFonts w:ascii="Arial" w:hAnsi="Arial" w:eastAsia="Arial" w:cs="Arial"/>
                <w:lang w:val="en-US"/>
              </w:rPr>
            </w:pPr>
          </w:p>
        </w:tc>
        <w:tc>
          <w:tcPr>
            <w:tcW w:w="8325" w:type="dxa"/>
            <w:tcMar/>
          </w:tcPr>
          <w:p w:rsidRPr="004330B3" w:rsidR="00C37204" w:rsidP="004B3806" w:rsidRDefault="00C37204" w14:paraId="62769C76" w14:textId="77777777">
            <w:pPr>
              <w:jc w:val="both"/>
              <w:rPr>
                <w:rFonts w:ascii="Arial" w:hAnsi="Arial" w:eastAsia="Arial" w:cs="Arial"/>
                <w:lang w:val="en-US"/>
              </w:rPr>
            </w:pPr>
          </w:p>
        </w:tc>
      </w:tr>
    </w:tbl>
    <w:p w:rsidRPr="004330B3" w:rsidR="00BD0FD1" w:rsidP="004B3806" w:rsidRDefault="00BD0FD1" w14:paraId="4678DEDA" w14:textId="77777777">
      <w:pPr>
        <w:jc w:val="both"/>
        <w:rPr>
          <w:rFonts w:ascii="Arial" w:hAnsi="Arial" w:eastAsia="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69"/>
        <w:gridCol w:w="7096"/>
      </w:tblGrid>
      <w:tr w:rsidRPr="00026F7E" w:rsidR="00BD0FD1" w:rsidTr="001C714A" w14:paraId="2DE42F2F" w14:textId="77777777">
        <w:tc>
          <w:tcPr>
            <w:tcW w:w="1881" w:type="dxa"/>
            <w:shd w:val="clear" w:color="auto" w:fill="auto"/>
          </w:tcPr>
          <w:p w:rsidR="00C37204" w:rsidP="004B3806" w:rsidRDefault="00BD0FD1" w14:paraId="2A2E1346" w14:textId="6EF2BDE1">
            <w:pPr>
              <w:jc w:val="both"/>
              <w:rPr>
                <w:rFonts w:ascii="Arial" w:hAnsi="Arial" w:eastAsia="Arial" w:cs="Arial"/>
                <w:b/>
                <w:lang w:val="en-US"/>
              </w:rPr>
            </w:pPr>
            <w:r w:rsidRPr="00026F7E">
              <w:rPr>
                <w:rFonts w:ascii="Arial" w:hAnsi="Arial" w:eastAsia="Arial" w:cs="Arial"/>
                <w:b/>
                <w:lang w:val="en-US"/>
              </w:rPr>
              <w:t>Appendices</w:t>
            </w:r>
          </w:p>
          <w:p w:rsidR="00C37204" w:rsidP="004B3806" w:rsidRDefault="00C37204" w14:paraId="386AB1D8" w14:textId="77777777">
            <w:pPr>
              <w:jc w:val="both"/>
              <w:rPr>
                <w:rFonts w:ascii="Arial" w:hAnsi="Arial" w:eastAsia="Arial" w:cs="Arial"/>
                <w:b/>
                <w:lang w:val="en-US"/>
              </w:rPr>
            </w:pPr>
          </w:p>
          <w:p w:rsidRPr="00026F7E" w:rsidR="00C37204" w:rsidP="004B3806" w:rsidRDefault="00C37204" w14:paraId="260A1DD9" w14:textId="61B76C99">
            <w:pPr>
              <w:jc w:val="both"/>
              <w:rPr>
                <w:rFonts w:ascii="Arial" w:hAnsi="Arial" w:eastAsia="Arial" w:cs="Arial"/>
                <w:b/>
                <w:lang w:val="en-US"/>
              </w:rPr>
            </w:pPr>
            <w:r>
              <w:rPr>
                <w:rFonts w:ascii="Arial" w:hAnsi="Arial" w:eastAsia="Arial" w:cs="Arial"/>
                <w:b/>
                <w:lang w:val="en-US"/>
              </w:rPr>
              <w:t>Appendix 1</w:t>
            </w:r>
          </w:p>
        </w:tc>
        <w:tc>
          <w:tcPr>
            <w:tcW w:w="7310" w:type="dxa"/>
            <w:shd w:val="clear" w:color="auto" w:fill="auto"/>
          </w:tcPr>
          <w:p w:rsidR="00C37204" w:rsidP="004B3806" w:rsidRDefault="00C37204" w14:paraId="676BAE2A" w14:textId="77777777">
            <w:pPr>
              <w:ind w:left="360"/>
              <w:jc w:val="both"/>
            </w:pPr>
          </w:p>
          <w:bookmarkStart w:name="_MON_1803450194" w:id="2"/>
          <w:bookmarkEnd w:id="2"/>
          <w:p w:rsidRPr="00026F7E" w:rsidR="00C37204" w:rsidP="004B3806" w:rsidRDefault="00120C8C" w14:paraId="6D27E0B3" w14:textId="19EA0232">
            <w:pPr>
              <w:ind w:left="360"/>
              <w:jc w:val="both"/>
              <w:rPr>
                <w:rFonts w:ascii="Arial" w:hAnsi="Arial" w:eastAsia="Arial" w:cs="Arial"/>
                <w:lang w:val="en-US"/>
              </w:rPr>
            </w:pPr>
            <w:r>
              <w:object w:dxaOrig="1508" w:dyaOrig="983" w14:anchorId="56F6795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8.75pt" o:ole="" type="#_x0000_t75">
                  <v:imagedata o:title="" r:id="rId13"/>
                </v:shape>
                <o:OLEObject Type="Embed" ProgID="Word.Document.12" ShapeID="_x0000_i1025" DrawAspect="Icon" ObjectID="_1803749871" r:id="rId14">
                  <o:FieldCodes>\s</o:FieldCodes>
                </o:OLEObject>
              </w:object>
            </w:r>
          </w:p>
        </w:tc>
      </w:tr>
      <w:tr w:rsidRPr="00026F7E" w:rsidR="00BD0FD1" w:rsidTr="001C714A" w14:paraId="7500DEF8" w14:textId="77777777">
        <w:tc>
          <w:tcPr>
            <w:tcW w:w="9191" w:type="dxa"/>
            <w:gridSpan w:val="2"/>
            <w:shd w:val="clear" w:color="auto" w:fill="auto"/>
          </w:tcPr>
          <w:p w:rsidRPr="00026F7E" w:rsidR="00BD0FD1" w:rsidP="004B3806" w:rsidRDefault="00BD0FD1" w14:paraId="25F2F72A" w14:textId="77777777">
            <w:pPr>
              <w:jc w:val="both"/>
              <w:rPr>
                <w:lang w:val="en-US"/>
              </w:rPr>
            </w:pPr>
            <w:r w:rsidRPr="00026F7E">
              <w:rPr>
                <w:rFonts w:ascii="Arial" w:hAnsi="Arial" w:eastAsia="Arial" w:cs="Arial"/>
                <w:b/>
                <w:bCs/>
                <w:lang w:val="en-US"/>
              </w:rPr>
              <w:t xml:space="preserve">For a copy of the background papers or for further information about this report, please telephone:   </w:t>
            </w:r>
          </w:p>
        </w:tc>
      </w:tr>
    </w:tbl>
    <w:p w:rsidR="00BD0FD1" w:rsidP="004B3806" w:rsidRDefault="00BD0FD1" w14:paraId="3D76D2B2" w14:textId="77777777">
      <w:pPr>
        <w:jc w:val="both"/>
        <w:rPr>
          <w:lang w:val="en-US"/>
        </w:rPr>
      </w:pPr>
    </w:p>
    <w:sectPr w:rsidR="00BD0FD1" w:rsidSect="006F7B68">
      <w:footerReference w:type="default" r:id="rId15"/>
      <w:headerReference w:type="first" r:id="rId16"/>
      <w:pgSz w:w="11906" w:h="16838" w:orient="portrait" w:code="9"/>
      <w:pgMar w:top="1134" w:right="1134"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0922" w:rsidRDefault="00B40922" w14:paraId="37FF7973" w14:textId="77777777">
      <w:r>
        <w:separator/>
      </w:r>
    </w:p>
  </w:endnote>
  <w:endnote w:type="continuationSeparator" w:id="0">
    <w:p w:rsidR="00B40922" w:rsidRDefault="00B40922" w14:paraId="442FC2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50707448"/>
      <w:docPartObj>
        <w:docPartGallery w:val="Page Numbers (Bottom of Page)"/>
        <w:docPartUnique/>
      </w:docPartObj>
    </w:sdtPr>
    <w:sdtContent>
      <w:sdt>
        <w:sdtPr>
          <w:rPr>
            <w:rFonts w:ascii="Arial" w:hAnsi="Arial" w:cs="Arial"/>
            <w:sz w:val="16"/>
            <w:szCs w:val="16"/>
          </w:rPr>
          <w:id w:val="98381352"/>
          <w:docPartObj>
            <w:docPartGallery w:val="Page Numbers (Top of Page)"/>
            <w:docPartUnique/>
          </w:docPartObj>
        </w:sdtPr>
        <w:sdtContent>
          <w:p w:rsidRPr="007700DB" w:rsidR="00E73E77" w:rsidP="00642E32" w:rsidRDefault="00E73E77" w14:paraId="28F8CDBE" w14:textId="77777777">
            <w:pPr>
              <w:pStyle w:val="Footer"/>
              <w:jc w:val="right"/>
              <w:rPr>
                <w:rFonts w:ascii="Arial" w:hAnsi="Arial" w:cs="Arial"/>
                <w:sz w:val="16"/>
                <w:szCs w:val="16"/>
              </w:rPr>
            </w:pPr>
            <w:r w:rsidRPr="007700DB">
              <w:rPr>
                <w:rFonts w:ascii="Arial" w:hAnsi="Arial" w:cs="Arial"/>
                <w:sz w:val="16"/>
                <w:szCs w:val="16"/>
              </w:rPr>
              <w:t xml:space="preserve">Page </w:t>
            </w:r>
            <w:r w:rsidRPr="007700DB">
              <w:rPr>
                <w:rFonts w:ascii="Arial" w:hAnsi="Arial" w:cs="Arial"/>
                <w:b/>
                <w:bCs/>
                <w:sz w:val="16"/>
                <w:szCs w:val="16"/>
              </w:rPr>
              <w:fldChar w:fldCharType="begin"/>
            </w:r>
            <w:r w:rsidRPr="007700DB">
              <w:rPr>
                <w:rFonts w:ascii="Arial" w:hAnsi="Arial" w:cs="Arial"/>
                <w:b/>
                <w:bCs/>
                <w:sz w:val="16"/>
                <w:szCs w:val="16"/>
              </w:rPr>
              <w:instrText xml:space="preserve"> PAGE </w:instrText>
            </w:r>
            <w:r w:rsidRPr="007700DB">
              <w:rPr>
                <w:rFonts w:ascii="Arial" w:hAnsi="Arial" w:cs="Arial"/>
                <w:b/>
                <w:bCs/>
                <w:sz w:val="16"/>
                <w:szCs w:val="16"/>
              </w:rPr>
              <w:fldChar w:fldCharType="separate"/>
            </w:r>
            <w:r w:rsidR="007806E0">
              <w:rPr>
                <w:rFonts w:ascii="Arial" w:hAnsi="Arial" w:cs="Arial"/>
                <w:b/>
                <w:bCs/>
                <w:noProof/>
                <w:sz w:val="16"/>
                <w:szCs w:val="16"/>
              </w:rPr>
              <w:t>6</w:t>
            </w:r>
            <w:r w:rsidRPr="007700DB">
              <w:rPr>
                <w:rFonts w:ascii="Arial" w:hAnsi="Arial" w:cs="Arial"/>
                <w:b/>
                <w:bCs/>
                <w:sz w:val="16"/>
                <w:szCs w:val="16"/>
              </w:rPr>
              <w:fldChar w:fldCharType="end"/>
            </w:r>
            <w:r w:rsidRPr="007700DB">
              <w:rPr>
                <w:rFonts w:ascii="Arial" w:hAnsi="Arial" w:cs="Arial"/>
                <w:sz w:val="16"/>
                <w:szCs w:val="16"/>
              </w:rPr>
              <w:t xml:space="preserve"> of </w:t>
            </w:r>
            <w:r w:rsidRPr="007700DB">
              <w:rPr>
                <w:rFonts w:ascii="Arial" w:hAnsi="Arial" w:cs="Arial"/>
                <w:b/>
                <w:bCs/>
                <w:sz w:val="16"/>
                <w:szCs w:val="16"/>
              </w:rPr>
              <w:fldChar w:fldCharType="begin"/>
            </w:r>
            <w:r w:rsidRPr="007700DB">
              <w:rPr>
                <w:rFonts w:ascii="Arial" w:hAnsi="Arial" w:cs="Arial"/>
                <w:b/>
                <w:bCs/>
                <w:sz w:val="16"/>
                <w:szCs w:val="16"/>
              </w:rPr>
              <w:instrText xml:space="preserve"> NUMPAGES  </w:instrText>
            </w:r>
            <w:r w:rsidRPr="007700DB">
              <w:rPr>
                <w:rFonts w:ascii="Arial" w:hAnsi="Arial" w:cs="Arial"/>
                <w:b/>
                <w:bCs/>
                <w:sz w:val="16"/>
                <w:szCs w:val="16"/>
              </w:rPr>
              <w:fldChar w:fldCharType="separate"/>
            </w:r>
            <w:r w:rsidR="007806E0">
              <w:rPr>
                <w:rFonts w:ascii="Arial" w:hAnsi="Arial" w:cs="Arial"/>
                <w:b/>
                <w:bCs/>
                <w:noProof/>
                <w:sz w:val="16"/>
                <w:szCs w:val="16"/>
              </w:rPr>
              <w:t>6</w:t>
            </w:r>
            <w:r w:rsidRPr="007700DB">
              <w:rPr>
                <w:rFonts w:ascii="Arial" w:hAnsi="Arial" w:cs="Arial"/>
                <w:b/>
                <w:bCs/>
                <w:sz w:val="16"/>
                <w:szCs w:val="16"/>
              </w:rPr>
              <w:fldChar w:fldCharType="end"/>
            </w:r>
          </w:p>
        </w:sdtContent>
        <w:sdtEndPr>
          <w:rPr>
            <w:rFonts w:ascii="Arial" w:hAnsi="Arial" w:cs="Arial"/>
            <w:sz w:val="16"/>
            <w:szCs w:val="16"/>
          </w:rPr>
        </w:sdtEndPr>
      </w:sdt>
    </w:sdtContent>
    <w:sdtEndPr>
      <w:rPr>
        <w:rFonts w:ascii="Arial" w:hAnsi="Arial" w:cs="Arial"/>
        <w:sz w:val="16"/>
        <w:szCs w:val="16"/>
      </w:rPr>
    </w:sdtEndPr>
  </w:sdt>
  <w:p w:rsidR="00E73E77" w:rsidRDefault="00E73E77" w14:paraId="6BF9C2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0922" w:rsidRDefault="00B40922" w14:paraId="0E8064E6" w14:textId="77777777">
      <w:r>
        <w:separator/>
      </w:r>
    </w:p>
  </w:footnote>
  <w:footnote w:type="continuationSeparator" w:id="0">
    <w:p w:rsidR="00B40922" w:rsidRDefault="00B40922" w14:paraId="437A4F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75BFD" w:rsidP="00375BFD" w:rsidRDefault="00375BFD" w14:paraId="0BC00B27" w14:textId="51FDF400">
    <w:pPr>
      <w:pStyle w:val="Header"/>
      <w:tabs>
        <w:tab w:val="left" w:pos="6663"/>
      </w:tabs>
    </w:pPr>
    <w:r>
      <w:rPr>
        <w:rFonts w:ascii="Arial" w:hAnsi="Arial" w:cs="Arial"/>
        <w:noProof/>
      </w:rPr>
      <w:drawing>
        <wp:inline distT="0" distB="0" distL="0" distR="0" wp14:anchorId="53DB3C2A" wp14:editId="1CA001F5">
          <wp:extent cx="2141149" cy="889401"/>
          <wp:effectExtent l="0" t="0" r="0" b="6350"/>
          <wp:docPr id="1" name="Picture 1"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went PSB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2508" cy="906581"/>
                  </a:xfrm>
                  <a:prstGeom prst="rect">
                    <a:avLst/>
                  </a:prstGeom>
                  <a:noFill/>
                  <a:ln>
                    <a:noFill/>
                  </a:ln>
                </pic:spPr>
              </pic:pic>
            </a:graphicData>
          </a:graphic>
        </wp:inline>
      </w:drawing>
    </w:r>
  </w:p>
  <w:p w:rsidR="00375BFD" w:rsidRDefault="00375BFD" w14:paraId="116F5A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923AA"/>
    <w:multiLevelType w:val="hybridMultilevel"/>
    <w:tmpl w:val="F08CBBB8"/>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1" w15:restartNumberingAfterBreak="0">
    <w:nsid w:val="20592459"/>
    <w:multiLevelType w:val="hybridMultilevel"/>
    <w:tmpl w:val="40184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444F64"/>
    <w:multiLevelType w:val="hybridMultilevel"/>
    <w:tmpl w:val="FAFC2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A660AA"/>
    <w:multiLevelType w:val="hybridMultilevel"/>
    <w:tmpl w:val="C958B37E"/>
    <w:lvl w:ilvl="0" w:tplc="6EF06A40">
      <w:start w:val="1"/>
      <w:numFmt w:val="bullet"/>
      <w:lvlText w:val=""/>
      <w:lvlJc w:val="left"/>
      <w:pPr>
        <w:ind w:left="720" w:hanging="360"/>
      </w:pPr>
      <w:rPr>
        <w:rFonts w:hint="default" w:ascii="Arial" w:hAnsi="Arial" w:cs="Arial"/>
        <w:b/>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142350"/>
    <w:multiLevelType w:val="hybridMultilevel"/>
    <w:tmpl w:val="7EBC519C"/>
    <w:lvl w:ilvl="0" w:tplc="2FF64C54">
      <w:start w:val="1"/>
      <w:numFmt w:val="upp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A1B52"/>
    <w:multiLevelType w:val="hybridMultilevel"/>
    <w:tmpl w:val="B0D0A3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C152D4"/>
    <w:multiLevelType w:val="hybridMultilevel"/>
    <w:tmpl w:val="FC8669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7E3186"/>
    <w:multiLevelType w:val="hybridMultilevel"/>
    <w:tmpl w:val="1C4CF56C"/>
    <w:lvl w:ilvl="0" w:tplc="D98A0EFE">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759EF"/>
    <w:multiLevelType w:val="hybridMultilevel"/>
    <w:tmpl w:val="95869FFE"/>
    <w:lvl w:ilvl="0" w:tplc="08090001">
      <w:start w:val="1"/>
      <w:numFmt w:val="bullet"/>
      <w:lvlText w:val=""/>
      <w:lvlJc w:val="left"/>
      <w:pPr>
        <w:ind w:left="720" w:hanging="360"/>
      </w:pPr>
      <w:rPr>
        <w:rFonts w:hint="default" w:ascii="Symbol" w:hAnsi="Symbol"/>
        <w:b/>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19B5124"/>
    <w:multiLevelType w:val="hybridMultilevel"/>
    <w:tmpl w:val="19A06ADC"/>
    <w:lvl w:ilvl="0" w:tplc="6EF06A40">
      <w:start w:val="1"/>
      <w:numFmt w:val="bullet"/>
      <w:lvlText w:val=""/>
      <w:lvlJc w:val="left"/>
      <w:pPr>
        <w:ind w:left="720" w:hanging="360"/>
      </w:pPr>
      <w:rPr>
        <w:rFonts w:hint="default" w:ascii="Arial" w:hAnsi="Arial" w:cs="Arial"/>
        <w:b/>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2B608B"/>
    <w:multiLevelType w:val="hybridMultilevel"/>
    <w:tmpl w:val="14B23668"/>
    <w:lvl w:ilvl="0" w:tplc="44A000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66C89"/>
    <w:multiLevelType w:val="multilevel"/>
    <w:tmpl w:val="99799376"/>
    <w:lvl w:ilvl="0">
      <w:start w:val="3"/>
      <w:numFmt w:val="decimal"/>
      <w:lvlText w:val="%1."/>
      <w:lvlJc w:val="left"/>
      <w:pPr>
        <w:tabs>
          <w:tab w:val="num" w:pos="1287"/>
        </w:tabs>
        <w:ind w:left="1287" w:hanging="283"/>
      </w:pPr>
      <w:rPr>
        <w:rFonts w:hint="default"/>
      </w:rPr>
    </w:lvl>
    <w:lvl w:ilvl="1">
      <w:start w:val="1"/>
      <w:numFmt w:val="decimal"/>
      <w:pStyle w:val="BodyText"/>
      <w:lvlText w:val="1.%2."/>
      <w:lvlJc w:val="left"/>
      <w:pPr>
        <w:tabs>
          <w:tab w:val="num" w:pos="567"/>
        </w:tabs>
        <w:ind w:left="567" w:hanging="567"/>
      </w:pPr>
      <w:rPr>
        <w:rFonts w:hint="default" w:ascii="Trebuchet MS" w:hAnsi="Trebuchet MS" w:eastAsia="Trebuchet MS" w:cs="Times New Roman"/>
        <w:b w:val="0"/>
        <w:i w:val="0"/>
        <w:color w:val="auto"/>
        <w:sz w:val="21"/>
        <w:szCs w:val="21"/>
      </w:rPr>
    </w:lvl>
    <w:lvl w:ilvl="2">
      <w:start w:val="1"/>
      <w:numFmt w:val="decimal"/>
      <w:lvlText w:val="%1.%2.%3."/>
      <w:lvlJc w:val="left"/>
      <w:pPr>
        <w:tabs>
          <w:tab w:val="num" w:pos="288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960"/>
        </w:tabs>
        <w:ind w:left="3312" w:hanging="792"/>
      </w:pPr>
      <w:rPr>
        <w:rFonts w:hint="default"/>
      </w:rPr>
    </w:lvl>
    <w:lvl w:ilvl="5">
      <w:start w:val="1"/>
      <w:numFmt w:val="decimal"/>
      <w:lvlText w:val="%1.%2.%3.%4.%5.%6."/>
      <w:lvlJc w:val="left"/>
      <w:pPr>
        <w:tabs>
          <w:tab w:val="num" w:pos="468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5760"/>
        </w:tabs>
        <w:ind w:left="4824" w:hanging="1224"/>
      </w:pPr>
      <w:rPr>
        <w:rFonts w:hint="default"/>
      </w:rPr>
    </w:lvl>
    <w:lvl w:ilvl="8">
      <w:start w:val="1"/>
      <w:numFmt w:val="decimal"/>
      <w:lvlText w:val="%1.%2.%3.%4.%5.%6.%7.%8.%9."/>
      <w:lvlJc w:val="left"/>
      <w:pPr>
        <w:tabs>
          <w:tab w:val="num" w:pos="6480"/>
        </w:tabs>
        <w:ind w:left="5400" w:hanging="1440"/>
      </w:pPr>
      <w:rPr>
        <w:rFonts w:hint="default"/>
      </w:rPr>
    </w:lvl>
  </w:abstractNum>
  <w:abstractNum w:abstractNumId="12" w15:restartNumberingAfterBreak="0">
    <w:nsid w:val="66866C8A"/>
    <w:multiLevelType w:val="hybridMultilevel"/>
    <w:tmpl w:val="99799375"/>
    <w:lvl w:ilvl="0" w:tplc="5AD888AE">
      <w:start w:val="1"/>
      <w:numFmt w:val="lowerLetter"/>
      <w:lvlText w:val="%1)"/>
      <w:lvlJc w:val="left"/>
      <w:pPr>
        <w:ind w:left="1080" w:hanging="720"/>
      </w:pPr>
      <w:rPr>
        <w:rFonts w:hint="default"/>
      </w:rPr>
    </w:lvl>
    <w:lvl w:ilvl="1" w:tplc="2048BC92">
      <w:start w:val="1"/>
      <w:numFmt w:val="lowerLetter"/>
      <w:lvlText w:val="%2."/>
      <w:lvlJc w:val="left"/>
      <w:pPr>
        <w:ind w:left="1440" w:hanging="360"/>
      </w:pPr>
    </w:lvl>
    <w:lvl w:ilvl="2" w:tplc="E4AAD5B8">
      <w:start w:val="1"/>
      <w:numFmt w:val="lowerRoman"/>
      <w:lvlText w:val="%3."/>
      <w:lvlJc w:val="right"/>
      <w:pPr>
        <w:ind w:left="2160" w:hanging="180"/>
      </w:pPr>
    </w:lvl>
    <w:lvl w:ilvl="3" w:tplc="7646E17E">
      <w:start w:val="1"/>
      <w:numFmt w:val="decimal"/>
      <w:lvlText w:val="%4."/>
      <w:lvlJc w:val="left"/>
      <w:pPr>
        <w:ind w:left="2880" w:hanging="360"/>
      </w:pPr>
    </w:lvl>
    <w:lvl w:ilvl="4" w:tplc="62086C84">
      <w:start w:val="1"/>
      <w:numFmt w:val="lowerLetter"/>
      <w:lvlText w:val="%5."/>
      <w:lvlJc w:val="left"/>
      <w:pPr>
        <w:ind w:left="3600" w:hanging="360"/>
      </w:pPr>
    </w:lvl>
    <w:lvl w:ilvl="5" w:tplc="8D06AFC6">
      <w:start w:val="1"/>
      <w:numFmt w:val="lowerRoman"/>
      <w:lvlText w:val="%6."/>
      <w:lvlJc w:val="right"/>
      <w:pPr>
        <w:ind w:left="4320" w:hanging="180"/>
      </w:pPr>
    </w:lvl>
    <w:lvl w:ilvl="6" w:tplc="CBDC4986">
      <w:start w:val="1"/>
      <w:numFmt w:val="decimal"/>
      <w:lvlText w:val="%7."/>
      <w:lvlJc w:val="left"/>
      <w:pPr>
        <w:ind w:left="5040" w:hanging="360"/>
      </w:pPr>
    </w:lvl>
    <w:lvl w:ilvl="7" w:tplc="2B76985E">
      <w:start w:val="1"/>
      <w:numFmt w:val="lowerLetter"/>
      <w:lvlText w:val="%8."/>
      <w:lvlJc w:val="left"/>
      <w:pPr>
        <w:ind w:left="5760" w:hanging="360"/>
      </w:pPr>
    </w:lvl>
    <w:lvl w:ilvl="8" w:tplc="BBC86D86">
      <w:start w:val="1"/>
      <w:numFmt w:val="lowerRoman"/>
      <w:lvlText w:val="%9."/>
      <w:lvlJc w:val="right"/>
      <w:pPr>
        <w:ind w:left="6480" w:hanging="180"/>
      </w:pPr>
    </w:lvl>
  </w:abstractNum>
  <w:abstractNum w:abstractNumId="13" w15:restartNumberingAfterBreak="0">
    <w:nsid w:val="66866C8B"/>
    <w:multiLevelType w:val="hybridMultilevel"/>
    <w:tmpl w:val="99799374"/>
    <w:lvl w:ilvl="0" w:tplc="E01077EE">
      <w:start w:val="1"/>
      <w:numFmt w:val="decimal"/>
      <w:lvlText w:val="%1."/>
      <w:lvlJc w:val="left"/>
      <w:pPr>
        <w:tabs>
          <w:tab w:val="num" w:pos="360"/>
        </w:tabs>
        <w:ind w:left="360" w:hanging="360"/>
      </w:pPr>
      <w:rPr>
        <w:rFonts w:hint="default"/>
      </w:rPr>
    </w:lvl>
    <w:lvl w:ilvl="1" w:tplc="4A04E0FE">
      <w:start w:val="1"/>
      <w:numFmt w:val="lowerLetter"/>
      <w:lvlText w:val="%2."/>
      <w:lvlJc w:val="left"/>
      <w:pPr>
        <w:tabs>
          <w:tab w:val="num" w:pos="1080"/>
        </w:tabs>
        <w:ind w:left="1080" w:hanging="360"/>
      </w:pPr>
    </w:lvl>
    <w:lvl w:ilvl="2" w:tplc="2EBC5F7E">
      <w:start w:val="1"/>
      <w:numFmt w:val="lowerRoman"/>
      <w:lvlText w:val="%3."/>
      <w:lvlJc w:val="right"/>
      <w:pPr>
        <w:tabs>
          <w:tab w:val="num" w:pos="1800"/>
        </w:tabs>
        <w:ind w:left="1800" w:hanging="180"/>
      </w:pPr>
    </w:lvl>
    <w:lvl w:ilvl="3" w:tplc="FA1EE034">
      <w:start w:val="1"/>
      <w:numFmt w:val="decimal"/>
      <w:lvlText w:val="%4."/>
      <w:lvlJc w:val="left"/>
      <w:pPr>
        <w:tabs>
          <w:tab w:val="num" w:pos="2520"/>
        </w:tabs>
        <w:ind w:left="2520" w:hanging="360"/>
      </w:pPr>
    </w:lvl>
    <w:lvl w:ilvl="4" w:tplc="F09E5DBC">
      <w:start w:val="1"/>
      <w:numFmt w:val="lowerLetter"/>
      <w:lvlText w:val="%5."/>
      <w:lvlJc w:val="left"/>
      <w:pPr>
        <w:tabs>
          <w:tab w:val="num" w:pos="3240"/>
        </w:tabs>
        <w:ind w:left="3240" w:hanging="360"/>
      </w:pPr>
    </w:lvl>
    <w:lvl w:ilvl="5" w:tplc="6492B1AC">
      <w:start w:val="1"/>
      <w:numFmt w:val="lowerRoman"/>
      <w:lvlText w:val="%6."/>
      <w:lvlJc w:val="right"/>
      <w:pPr>
        <w:tabs>
          <w:tab w:val="num" w:pos="3960"/>
        </w:tabs>
        <w:ind w:left="3960" w:hanging="180"/>
      </w:pPr>
    </w:lvl>
    <w:lvl w:ilvl="6" w:tplc="CB6A4D1A">
      <w:start w:val="1"/>
      <w:numFmt w:val="decimal"/>
      <w:lvlText w:val="%7."/>
      <w:lvlJc w:val="left"/>
      <w:pPr>
        <w:tabs>
          <w:tab w:val="num" w:pos="4680"/>
        </w:tabs>
        <w:ind w:left="4680" w:hanging="360"/>
      </w:pPr>
    </w:lvl>
    <w:lvl w:ilvl="7" w:tplc="44D8A162">
      <w:start w:val="1"/>
      <w:numFmt w:val="lowerLetter"/>
      <w:lvlText w:val="%8."/>
      <w:lvlJc w:val="left"/>
      <w:pPr>
        <w:tabs>
          <w:tab w:val="num" w:pos="5400"/>
        </w:tabs>
        <w:ind w:left="5400" w:hanging="360"/>
      </w:pPr>
    </w:lvl>
    <w:lvl w:ilvl="8" w:tplc="D6AE7B76">
      <w:start w:val="1"/>
      <w:numFmt w:val="lowerRoman"/>
      <w:lvlText w:val="%9."/>
      <w:lvlJc w:val="right"/>
      <w:pPr>
        <w:tabs>
          <w:tab w:val="num" w:pos="6120"/>
        </w:tabs>
        <w:ind w:left="6120" w:hanging="180"/>
      </w:pPr>
    </w:lvl>
  </w:abstractNum>
  <w:abstractNum w:abstractNumId="14" w15:restartNumberingAfterBreak="0">
    <w:nsid w:val="66866C8C"/>
    <w:multiLevelType w:val="hybridMultilevel"/>
    <w:tmpl w:val="99799373"/>
    <w:lvl w:ilvl="0" w:tplc="00C25C3E">
      <w:start w:val="1"/>
      <w:numFmt w:val="decimal"/>
      <w:lvlText w:val="%1)"/>
      <w:lvlJc w:val="left"/>
      <w:pPr>
        <w:tabs>
          <w:tab w:val="num" w:pos="1080"/>
        </w:tabs>
        <w:ind w:left="1080" w:hanging="720"/>
      </w:pPr>
      <w:rPr>
        <w:rFonts w:hint="default"/>
        <w:b w:val="0"/>
      </w:rPr>
    </w:lvl>
    <w:lvl w:ilvl="1" w:tplc="0B5042D6">
      <w:start w:val="1"/>
      <w:numFmt w:val="lowerLetter"/>
      <w:lvlText w:val="%2."/>
      <w:lvlJc w:val="left"/>
      <w:pPr>
        <w:tabs>
          <w:tab w:val="num" w:pos="1440"/>
        </w:tabs>
        <w:ind w:left="1440" w:hanging="360"/>
      </w:pPr>
    </w:lvl>
    <w:lvl w:ilvl="2" w:tplc="5B7E7E16">
      <w:start w:val="1"/>
      <w:numFmt w:val="lowerRoman"/>
      <w:lvlText w:val="%3."/>
      <w:lvlJc w:val="right"/>
      <w:pPr>
        <w:tabs>
          <w:tab w:val="num" w:pos="2160"/>
        </w:tabs>
        <w:ind w:left="2160" w:hanging="180"/>
      </w:pPr>
    </w:lvl>
    <w:lvl w:ilvl="3" w:tplc="7E6ED666">
      <w:start w:val="1"/>
      <w:numFmt w:val="decimal"/>
      <w:lvlText w:val="%4."/>
      <w:lvlJc w:val="left"/>
      <w:pPr>
        <w:tabs>
          <w:tab w:val="num" w:pos="2880"/>
        </w:tabs>
        <w:ind w:left="2880" w:hanging="360"/>
      </w:pPr>
    </w:lvl>
    <w:lvl w:ilvl="4" w:tplc="ABDE14CA">
      <w:start w:val="1"/>
      <w:numFmt w:val="lowerLetter"/>
      <w:lvlText w:val="%5."/>
      <w:lvlJc w:val="left"/>
      <w:pPr>
        <w:tabs>
          <w:tab w:val="num" w:pos="3600"/>
        </w:tabs>
        <w:ind w:left="3600" w:hanging="360"/>
      </w:pPr>
    </w:lvl>
    <w:lvl w:ilvl="5" w:tplc="FA38C02A">
      <w:start w:val="1"/>
      <w:numFmt w:val="lowerRoman"/>
      <w:lvlText w:val="%6."/>
      <w:lvlJc w:val="right"/>
      <w:pPr>
        <w:tabs>
          <w:tab w:val="num" w:pos="4320"/>
        </w:tabs>
        <w:ind w:left="4320" w:hanging="180"/>
      </w:pPr>
    </w:lvl>
    <w:lvl w:ilvl="6" w:tplc="80663342">
      <w:start w:val="1"/>
      <w:numFmt w:val="decimal"/>
      <w:lvlText w:val="%7."/>
      <w:lvlJc w:val="left"/>
      <w:pPr>
        <w:tabs>
          <w:tab w:val="num" w:pos="5040"/>
        </w:tabs>
        <w:ind w:left="5040" w:hanging="360"/>
      </w:pPr>
    </w:lvl>
    <w:lvl w:ilvl="7" w:tplc="F81CE928">
      <w:start w:val="1"/>
      <w:numFmt w:val="lowerLetter"/>
      <w:lvlText w:val="%8."/>
      <w:lvlJc w:val="left"/>
      <w:pPr>
        <w:tabs>
          <w:tab w:val="num" w:pos="5760"/>
        </w:tabs>
        <w:ind w:left="5760" w:hanging="360"/>
      </w:pPr>
    </w:lvl>
    <w:lvl w:ilvl="8" w:tplc="330EE892">
      <w:start w:val="1"/>
      <w:numFmt w:val="lowerRoman"/>
      <w:lvlText w:val="%9."/>
      <w:lvlJc w:val="right"/>
      <w:pPr>
        <w:tabs>
          <w:tab w:val="num" w:pos="6480"/>
        </w:tabs>
        <w:ind w:left="6480" w:hanging="180"/>
      </w:pPr>
    </w:lvl>
  </w:abstractNum>
  <w:abstractNum w:abstractNumId="15" w15:restartNumberingAfterBreak="0">
    <w:nsid w:val="66866C8D"/>
    <w:multiLevelType w:val="hybridMultilevel"/>
    <w:tmpl w:val="99799372"/>
    <w:lvl w:ilvl="0" w:tplc="8B84BE2A">
      <w:start w:val="1"/>
      <w:numFmt w:val="decimal"/>
      <w:lvlText w:val="%1."/>
      <w:lvlJc w:val="left"/>
      <w:pPr>
        <w:tabs>
          <w:tab w:val="num" w:pos="720"/>
        </w:tabs>
        <w:ind w:left="720" w:hanging="360"/>
      </w:pPr>
      <w:rPr>
        <w:rFonts w:hint="default"/>
      </w:rPr>
    </w:lvl>
    <w:lvl w:ilvl="1" w:tplc="F4CA8F30">
      <w:start w:val="1"/>
      <w:numFmt w:val="lowerLetter"/>
      <w:lvlText w:val="%2."/>
      <w:lvlJc w:val="left"/>
      <w:pPr>
        <w:tabs>
          <w:tab w:val="num" w:pos="1440"/>
        </w:tabs>
        <w:ind w:left="1440" w:hanging="360"/>
      </w:pPr>
    </w:lvl>
    <w:lvl w:ilvl="2" w:tplc="CA6E78F2">
      <w:start w:val="1"/>
      <w:numFmt w:val="lowerRoman"/>
      <w:lvlText w:val="%3."/>
      <w:lvlJc w:val="right"/>
      <w:pPr>
        <w:tabs>
          <w:tab w:val="num" w:pos="2160"/>
        </w:tabs>
        <w:ind w:left="2160" w:hanging="180"/>
      </w:pPr>
    </w:lvl>
    <w:lvl w:ilvl="3" w:tplc="4300A898">
      <w:start w:val="1"/>
      <w:numFmt w:val="decimal"/>
      <w:lvlText w:val="%4."/>
      <w:lvlJc w:val="left"/>
      <w:pPr>
        <w:tabs>
          <w:tab w:val="num" w:pos="2880"/>
        </w:tabs>
        <w:ind w:left="2880" w:hanging="360"/>
      </w:pPr>
    </w:lvl>
    <w:lvl w:ilvl="4" w:tplc="3F24C3F4">
      <w:start w:val="1"/>
      <w:numFmt w:val="lowerLetter"/>
      <w:lvlText w:val="%5."/>
      <w:lvlJc w:val="left"/>
      <w:pPr>
        <w:tabs>
          <w:tab w:val="num" w:pos="3600"/>
        </w:tabs>
        <w:ind w:left="3600" w:hanging="360"/>
      </w:pPr>
    </w:lvl>
    <w:lvl w:ilvl="5" w:tplc="0D20D6F4">
      <w:start w:val="1"/>
      <w:numFmt w:val="lowerRoman"/>
      <w:lvlText w:val="%6."/>
      <w:lvlJc w:val="right"/>
      <w:pPr>
        <w:tabs>
          <w:tab w:val="num" w:pos="4320"/>
        </w:tabs>
        <w:ind w:left="4320" w:hanging="180"/>
      </w:pPr>
    </w:lvl>
    <w:lvl w:ilvl="6" w:tplc="082010F2">
      <w:start w:val="1"/>
      <w:numFmt w:val="decimal"/>
      <w:lvlText w:val="%7."/>
      <w:lvlJc w:val="left"/>
      <w:pPr>
        <w:tabs>
          <w:tab w:val="num" w:pos="5040"/>
        </w:tabs>
        <w:ind w:left="5040" w:hanging="360"/>
      </w:pPr>
    </w:lvl>
    <w:lvl w:ilvl="7" w:tplc="7D3AC080">
      <w:start w:val="1"/>
      <w:numFmt w:val="lowerLetter"/>
      <w:lvlText w:val="%8."/>
      <w:lvlJc w:val="left"/>
      <w:pPr>
        <w:tabs>
          <w:tab w:val="num" w:pos="5760"/>
        </w:tabs>
        <w:ind w:left="5760" w:hanging="360"/>
      </w:pPr>
    </w:lvl>
    <w:lvl w:ilvl="8" w:tplc="8938BE78">
      <w:start w:val="1"/>
      <w:numFmt w:val="lowerRoman"/>
      <w:lvlText w:val="%9."/>
      <w:lvlJc w:val="right"/>
      <w:pPr>
        <w:tabs>
          <w:tab w:val="num" w:pos="6480"/>
        </w:tabs>
        <w:ind w:left="6480" w:hanging="180"/>
      </w:pPr>
    </w:lvl>
  </w:abstractNum>
  <w:abstractNum w:abstractNumId="16" w15:restartNumberingAfterBreak="0">
    <w:nsid w:val="681962B8"/>
    <w:multiLevelType w:val="hybridMultilevel"/>
    <w:tmpl w:val="A8E4D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7E6934"/>
    <w:multiLevelType w:val="hybridMultilevel"/>
    <w:tmpl w:val="625CE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191893">
    <w:abstractNumId w:val="11"/>
  </w:num>
  <w:num w:numId="2" w16cid:durableId="1479883048">
    <w:abstractNumId w:val="12"/>
  </w:num>
  <w:num w:numId="3" w16cid:durableId="1275359522">
    <w:abstractNumId w:val="13"/>
  </w:num>
  <w:num w:numId="4" w16cid:durableId="960956660">
    <w:abstractNumId w:val="14"/>
  </w:num>
  <w:num w:numId="5" w16cid:durableId="989209494">
    <w:abstractNumId w:val="15"/>
  </w:num>
  <w:num w:numId="6" w16cid:durableId="864174032">
    <w:abstractNumId w:val="6"/>
  </w:num>
  <w:num w:numId="7" w16cid:durableId="204027265">
    <w:abstractNumId w:val="0"/>
  </w:num>
  <w:num w:numId="8" w16cid:durableId="1738552853">
    <w:abstractNumId w:val="10"/>
  </w:num>
  <w:num w:numId="9" w16cid:durableId="1915429515">
    <w:abstractNumId w:val="4"/>
  </w:num>
  <w:num w:numId="10" w16cid:durableId="1073047827">
    <w:abstractNumId w:val="7"/>
  </w:num>
  <w:num w:numId="11" w16cid:durableId="1724601956">
    <w:abstractNumId w:val="5"/>
  </w:num>
  <w:num w:numId="12" w16cid:durableId="319965180">
    <w:abstractNumId w:val="1"/>
  </w:num>
  <w:num w:numId="13" w16cid:durableId="892421389">
    <w:abstractNumId w:val="17"/>
  </w:num>
  <w:num w:numId="14" w16cid:durableId="1161628295">
    <w:abstractNumId w:val="2"/>
  </w:num>
  <w:num w:numId="15" w16cid:durableId="348456445">
    <w:abstractNumId w:val="3"/>
  </w:num>
  <w:num w:numId="16" w16cid:durableId="365106269">
    <w:abstractNumId w:val="9"/>
  </w:num>
  <w:num w:numId="17" w16cid:durableId="1002270715">
    <w:abstractNumId w:val="8"/>
  </w:num>
  <w:num w:numId="18" w16cid:durableId="1890418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64"/>
    <w:rsid w:val="0000052F"/>
    <w:rsid w:val="000046B7"/>
    <w:rsid w:val="000651FD"/>
    <w:rsid w:val="00076D67"/>
    <w:rsid w:val="000A6528"/>
    <w:rsid w:val="000A77D2"/>
    <w:rsid w:val="000E69C9"/>
    <w:rsid w:val="000F56CE"/>
    <w:rsid w:val="000F6F01"/>
    <w:rsid w:val="0010254C"/>
    <w:rsid w:val="00120C8C"/>
    <w:rsid w:val="00123F22"/>
    <w:rsid w:val="00131951"/>
    <w:rsid w:val="001361BE"/>
    <w:rsid w:val="00161E7D"/>
    <w:rsid w:val="00197F33"/>
    <w:rsid w:val="001B645A"/>
    <w:rsid w:val="001C714A"/>
    <w:rsid w:val="001D4539"/>
    <w:rsid w:val="001E5DE4"/>
    <w:rsid w:val="001E71EC"/>
    <w:rsid w:val="00230824"/>
    <w:rsid w:val="00243218"/>
    <w:rsid w:val="00250BA3"/>
    <w:rsid w:val="00282328"/>
    <w:rsid w:val="00290542"/>
    <w:rsid w:val="002A0012"/>
    <w:rsid w:val="002A2232"/>
    <w:rsid w:val="002C1520"/>
    <w:rsid w:val="002E5B6A"/>
    <w:rsid w:val="002F409D"/>
    <w:rsid w:val="002F560D"/>
    <w:rsid w:val="00304181"/>
    <w:rsid w:val="00304B2E"/>
    <w:rsid w:val="003154CD"/>
    <w:rsid w:val="00317353"/>
    <w:rsid w:val="00326205"/>
    <w:rsid w:val="00344CF8"/>
    <w:rsid w:val="00347EE2"/>
    <w:rsid w:val="00356DEC"/>
    <w:rsid w:val="00361075"/>
    <w:rsid w:val="003720C3"/>
    <w:rsid w:val="00375BFD"/>
    <w:rsid w:val="003830CF"/>
    <w:rsid w:val="0039030F"/>
    <w:rsid w:val="003F18D5"/>
    <w:rsid w:val="004059A9"/>
    <w:rsid w:val="00412AA5"/>
    <w:rsid w:val="004478D5"/>
    <w:rsid w:val="00471FF4"/>
    <w:rsid w:val="00472E4F"/>
    <w:rsid w:val="00483E86"/>
    <w:rsid w:val="004B3806"/>
    <w:rsid w:val="004F690C"/>
    <w:rsid w:val="00553399"/>
    <w:rsid w:val="00583D03"/>
    <w:rsid w:val="005B5C41"/>
    <w:rsid w:val="005D0604"/>
    <w:rsid w:val="005F520A"/>
    <w:rsid w:val="00636DEF"/>
    <w:rsid w:val="00642E32"/>
    <w:rsid w:val="00646A24"/>
    <w:rsid w:val="00660917"/>
    <w:rsid w:val="006617FB"/>
    <w:rsid w:val="006813C9"/>
    <w:rsid w:val="00690755"/>
    <w:rsid w:val="00694AE1"/>
    <w:rsid w:val="006B58B9"/>
    <w:rsid w:val="006C1D72"/>
    <w:rsid w:val="006C2C72"/>
    <w:rsid w:val="006D1C44"/>
    <w:rsid w:val="006E1E60"/>
    <w:rsid w:val="006F14F0"/>
    <w:rsid w:val="006F7B68"/>
    <w:rsid w:val="0071168A"/>
    <w:rsid w:val="00721C0E"/>
    <w:rsid w:val="00733BB2"/>
    <w:rsid w:val="007357E6"/>
    <w:rsid w:val="007806E0"/>
    <w:rsid w:val="0078534A"/>
    <w:rsid w:val="00795B40"/>
    <w:rsid w:val="007975CC"/>
    <w:rsid w:val="007A1DE0"/>
    <w:rsid w:val="007B3539"/>
    <w:rsid w:val="00802034"/>
    <w:rsid w:val="008049B2"/>
    <w:rsid w:val="0081543A"/>
    <w:rsid w:val="00821CF7"/>
    <w:rsid w:val="008261D6"/>
    <w:rsid w:val="008359EC"/>
    <w:rsid w:val="00840D26"/>
    <w:rsid w:val="008541DA"/>
    <w:rsid w:val="00881A2C"/>
    <w:rsid w:val="008829B9"/>
    <w:rsid w:val="008832D4"/>
    <w:rsid w:val="008C2394"/>
    <w:rsid w:val="008D78AA"/>
    <w:rsid w:val="008E49F7"/>
    <w:rsid w:val="008F05CC"/>
    <w:rsid w:val="00903D92"/>
    <w:rsid w:val="009933B8"/>
    <w:rsid w:val="009C07A8"/>
    <w:rsid w:val="009C17D7"/>
    <w:rsid w:val="009D2264"/>
    <w:rsid w:val="009D362D"/>
    <w:rsid w:val="009F178E"/>
    <w:rsid w:val="009F32F4"/>
    <w:rsid w:val="009F3D1A"/>
    <w:rsid w:val="009F4F07"/>
    <w:rsid w:val="00A003FC"/>
    <w:rsid w:val="00A12D5C"/>
    <w:rsid w:val="00A363E7"/>
    <w:rsid w:val="00A376EC"/>
    <w:rsid w:val="00A44A7A"/>
    <w:rsid w:val="00A45DCD"/>
    <w:rsid w:val="00A55650"/>
    <w:rsid w:val="00A60D64"/>
    <w:rsid w:val="00A612F0"/>
    <w:rsid w:val="00A61664"/>
    <w:rsid w:val="00A645BC"/>
    <w:rsid w:val="00A67775"/>
    <w:rsid w:val="00A80BFF"/>
    <w:rsid w:val="00A9419B"/>
    <w:rsid w:val="00AD6293"/>
    <w:rsid w:val="00AD74B7"/>
    <w:rsid w:val="00AE69D6"/>
    <w:rsid w:val="00AF3F36"/>
    <w:rsid w:val="00AF7654"/>
    <w:rsid w:val="00B260B3"/>
    <w:rsid w:val="00B33F85"/>
    <w:rsid w:val="00B40922"/>
    <w:rsid w:val="00B64F95"/>
    <w:rsid w:val="00B71714"/>
    <w:rsid w:val="00B81A08"/>
    <w:rsid w:val="00BB0FC4"/>
    <w:rsid w:val="00BB4D90"/>
    <w:rsid w:val="00BD0FD1"/>
    <w:rsid w:val="00BD3ABB"/>
    <w:rsid w:val="00BD4F9E"/>
    <w:rsid w:val="00BE19D4"/>
    <w:rsid w:val="00BE1F66"/>
    <w:rsid w:val="00C01ED5"/>
    <w:rsid w:val="00C02FE2"/>
    <w:rsid w:val="00C14F43"/>
    <w:rsid w:val="00C179E2"/>
    <w:rsid w:val="00C37204"/>
    <w:rsid w:val="00C43F8E"/>
    <w:rsid w:val="00C466E3"/>
    <w:rsid w:val="00C77F80"/>
    <w:rsid w:val="00CA7C3E"/>
    <w:rsid w:val="00CC62D5"/>
    <w:rsid w:val="00CC6B33"/>
    <w:rsid w:val="00CD1298"/>
    <w:rsid w:val="00CD2040"/>
    <w:rsid w:val="00CD2143"/>
    <w:rsid w:val="00D257BE"/>
    <w:rsid w:val="00D27F92"/>
    <w:rsid w:val="00D33C60"/>
    <w:rsid w:val="00D417FD"/>
    <w:rsid w:val="00D73710"/>
    <w:rsid w:val="00D93EC5"/>
    <w:rsid w:val="00D9576B"/>
    <w:rsid w:val="00DB1D1C"/>
    <w:rsid w:val="00DB5F33"/>
    <w:rsid w:val="00DD57DF"/>
    <w:rsid w:val="00DE072D"/>
    <w:rsid w:val="00DE1E6C"/>
    <w:rsid w:val="00DE5BC7"/>
    <w:rsid w:val="00DE7CA8"/>
    <w:rsid w:val="00E007F1"/>
    <w:rsid w:val="00E034B4"/>
    <w:rsid w:val="00E26DA3"/>
    <w:rsid w:val="00E32CD6"/>
    <w:rsid w:val="00E370D4"/>
    <w:rsid w:val="00E40C23"/>
    <w:rsid w:val="00E46D69"/>
    <w:rsid w:val="00E54310"/>
    <w:rsid w:val="00E565FB"/>
    <w:rsid w:val="00E611DE"/>
    <w:rsid w:val="00E6172A"/>
    <w:rsid w:val="00E73E77"/>
    <w:rsid w:val="00EC1CDF"/>
    <w:rsid w:val="00F17271"/>
    <w:rsid w:val="00F25C53"/>
    <w:rsid w:val="00F31FE3"/>
    <w:rsid w:val="00FA11D7"/>
    <w:rsid w:val="00FE799F"/>
    <w:rsid w:val="551E4BB1"/>
  </w:rsids>
  <m:mathPr>
    <m:mathFont m:val="Cambria Math"/>
    <m:brkBin m:val="before"/>
    <m:brkBinSub m:val="--"/>
    <m:smallFrac m:val="0"/>
    <m:dispDef/>
    <m:lMargin m:val="0"/>
    <m:rMargin m:val="0"/>
    <m:defJc m:val="centerGroup"/>
    <m:wrapIndent m:val="1440"/>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E2B27"/>
  <w14:defaultImageDpi w14:val="0"/>
  <w15:docId w15:val="{CAF7FADC-399B-46BF-821B-23D9EFA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Pr>
      <w:rFonts w:ascii="Tahoma" w:hAnsi="Tahoma" w:eastAsia="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pPr>
    <w:rPr>
      <w:lang w:val="x-none" w:eastAsia="x-none"/>
    </w:rPr>
  </w:style>
  <w:style w:type="paragraph" w:styleId="BodyText">
    <w:name w:val="Body Text"/>
    <w:aliases w:val="Document"/>
    <w:basedOn w:val="Normal"/>
    <w:semiHidden/>
    <w:pPr>
      <w:numPr>
        <w:ilvl w:val="1"/>
        <w:numId w:val="1"/>
      </w:numPr>
      <w:tabs>
        <w:tab w:val="left" w:pos="9180"/>
      </w:tabs>
      <w:jc w:val="both"/>
    </w:pPr>
    <w:rPr>
      <w:rFonts w:ascii="Trebuchet MS" w:hAnsi="Trebuchet MS" w:eastAsia="Trebuchet MS"/>
      <w:sz w:val="22"/>
      <w:szCs w:val="22"/>
      <w:lang w:eastAsia="en-US"/>
    </w:rPr>
  </w:style>
  <w:style w:type="paragraph" w:styleId="Title">
    <w:name w:val="Title"/>
    <w:basedOn w:val="Normal"/>
    <w:qFormat/>
    <w:pPr>
      <w:jc w:val="center"/>
    </w:pPr>
    <w:rPr>
      <w:rFonts w:eastAsia="MS Mincho"/>
      <w:b/>
      <w:bCs/>
      <w:noProof/>
      <w:sz w:val="32"/>
      <w:lang w:eastAsia="ja-JP"/>
    </w:rPr>
  </w:style>
  <w:style w:type="character" w:styleId="HeaderChar" w:customStyle="1">
    <w:name w:val="Header Char"/>
    <w:link w:val="Header"/>
    <w:uiPriority w:val="99"/>
    <w:rPr>
      <w:sz w:val="24"/>
      <w:szCs w:val="24"/>
    </w:rPr>
  </w:style>
  <w:style w:type="character" w:styleId="CommentReference">
    <w:name w:val="annotation reference"/>
    <w:uiPriority w:val="99"/>
    <w:semiHidden/>
    <w:unhideWhenUsed/>
    <w:rsid w:val="008832D4"/>
    <w:rPr>
      <w:sz w:val="16"/>
      <w:szCs w:val="16"/>
    </w:rPr>
  </w:style>
  <w:style w:type="paragraph" w:styleId="CommentText">
    <w:name w:val="annotation text"/>
    <w:basedOn w:val="Normal"/>
    <w:link w:val="CommentTextChar"/>
    <w:uiPriority w:val="99"/>
    <w:unhideWhenUsed/>
    <w:rsid w:val="008832D4"/>
    <w:rPr>
      <w:sz w:val="20"/>
      <w:szCs w:val="20"/>
    </w:rPr>
  </w:style>
  <w:style w:type="character" w:styleId="CommentTextChar" w:customStyle="1">
    <w:name w:val="Comment Text Char"/>
    <w:basedOn w:val="DefaultParagraphFont"/>
    <w:link w:val="CommentText"/>
    <w:uiPriority w:val="99"/>
    <w:rsid w:val="008832D4"/>
  </w:style>
  <w:style w:type="paragraph" w:styleId="CommentSubject">
    <w:name w:val="annotation subject"/>
    <w:basedOn w:val="CommentText"/>
    <w:next w:val="CommentText"/>
    <w:link w:val="CommentSubjectChar"/>
    <w:uiPriority w:val="99"/>
    <w:semiHidden/>
    <w:unhideWhenUsed/>
    <w:rsid w:val="008832D4"/>
    <w:rPr>
      <w:b/>
      <w:bCs/>
    </w:rPr>
  </w:style>
  <w:style w:type="character" w:styleId="CommentSubjectChar" w:customStyle="1">
    <w:name w:val="Comment Subject Char"/>
    <w:link w:val="CommentSubject"/>
    <w:uiPriority w:val="99"/>
    <w:semiHidden/>
    <w:rsid w:val="008832D4"/>
    <w:rPr>
      <w:b/>
      <w:bCs/>
    </w:rPr>
  </w:style>
  <w:style w:type="character" w:styleId="Hyperlink">
    <w:name w:val="Hyperlink"/>
    <w:basedOn w:val="DefaultParagraphFont"/>
    <w:uiPriority w:val="99"/>
    <w:unhideWhenUsed/>
    <w:rsid w:val="006C1D72"/>
    <w:rPr>
      <w:b/>
      <w:bCs/>
      <w:strike w:val="0"/>
      <w:dstrike w:val="0"/>
      <w:color w:val="4C2572"/>
      <w:u w:val="none"/>
      <w:effect w:val="none"/>
    </w:rPr>
  </w:style>
  <w:style w:type="paragraph" w:styleId="NormalWeb">
    <w:name w:val="Normal (Web)"/>
    <w:basedOn w:val="Normal"/>
    <w:uiPriority w:val="99"/>
    <w:rsid w:val="00AE69D6"/>
    <w:pPr>
      <w:suppressAutoHyphens/>
      <w:spacing w:before="280" w:after="119"/>
    </w:pPr>
    <w:rPr>
      <w:rFonts w:cs="Arial"/>
      <w:b/>
      <w:bCs/>
      <w:color w:val="000000"/>
      <w:sz w:val="32"/>
      <w:lang w:eastAsia="ar-SA"/>
    </w:rPr>
  </w:style>
  <w:style w:type="paragraph" w:styleId="ListParagraph">
    <w:name w:val="List Paragraph"/>
    <w:basedOn w:val="Normal"/>
    <w:uiPriority w:val="34"/>
    <w:qFormat/>
    <w:rsid w:val="00AE69D6"/>
    <w:pPr>
      <w:suppressAutoHyphens/>
      <w:ind w:left="720"/>
    </w:pPr>
    <w:rPr>
      <w:rFonts w:ascii="Arial" w:hAnsi="Arial" w:cs="Arial"/>
      <w:b/>
      <w:bCs/>
      <w:color w:val="000000"/>
      <w:sz w:val="32"/>
      <w:lang w:eastAsia="ar-SA"/>
    </w:rPr>
  </w:style>
  <w:style w:type="paragraph" w:styleId="Default" w:customStyle="1">
    <w:name w:val="Default"/>
    <w:rsid w:val="00AD74B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347EE2"/>
    <w:rPr>
      <w:b/>
      <w:bCs/>
    </w:rPr>
  </w:style>
  <w:style w:type="character" w:styleId="UnresolvedMention">
    <w:name w:val="Unresolved Mention"/>
    <w:basedOn w:val="DefaultParagraphFont"/>
    <w:uiPriority w:val="99"/>
    <w:semiHidden/>
    <w:unhideWhenUsed/>
    <w:rsid w:val="00CD1298"/>
    <w:rPr>
      <w:color w:val="605E5C"/>
      <w:shd w:val="clear" w:color="auto" w:fill="E1DFDD"/>
    </w:rPr>
  </w:style>
  <w:style w:type="paragraph" w:styleId="Revision">
    <w:name w:val="Revision"/>
    <w:hidden/>
    <w:uiPriority w:val="99"/>
    <w:semiHidden/>
    <w:rsid w:val="000A65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8660">
      <w:bodyDiv w:val="1"/>
      <w:marLeft w:val="0"/>
      <w:marRight w:val="0"/>
      <w:marTop w:val="0"/>
      <w:marBottom w:val="0"/>
      <w:divBdr>
        <w:top w:val="none" w:sz="0" w:space="0" w:color="auto"/>
        <w:left w:val="none" w:sz="0" w:space="0" w:color="auto"/>
        <w:bottom w:val="none" w:sz="0" w:space="0" w:color="auto"/>
        <w:right w:val="none" w:sz="0" w:space="0" w:color="auto"/>
      </w:divBdr>
      <w:divsChild>
        <w:div w:id="132253840">
          <w:marLeft w:val="0"/>
          <w:marRight w:val="0"/>
          <w:marTop w:val="0"/>
          <w:marBottom w:val="0"/>
          <w:divBdr>
            <w:top w:val="none" w:sz="0" w:space="0" w:color="auto"/>
            <w:left w:val="none" w:sz="0" w:space="0" w:color="auto"/>
            <w:bottom w:val="none" w:sz="0" w:space="0" w:color="auto"/>
            <w:right w:val="none" w:sz="0" w:space="0" w:color="auto"/>
          </w:divBdr>
          <w:divsChild>
            <w:div w:id="1320620540">
              <w:marLeft w:val="0"/>
              <w:marRight w:val="0"/>
              <w:marTop w:val="0"/>
              <w:marBottom w:val="0"/>
              <w:divBdr>
                <w:top w:val="none" w:sz="0" w:space="0" w:color="auto"/>
                <w:left w:val="none" w:sz="0" w:space="0" w:color="auto"/>
                <w:bottom w:val="none" w:sz="0" w:space="0" w:color="auto"/>
                <w:right w:val="none" w:sz="0" w:space="0" w:color="auto"/>
              </w:divBdr>
              <w:divsChild>
                <w:div w:id="2135520993">
                  <w:marLeft w:val="0"/>
                  <w:marRight w:val="0"/>
                  <w:marTop w:val="900"/>
                  <w:marBottom w:val="150"/>
                  <w:divBdr>
                    <w:top w:val="none" w:sz="0" w:space="0" w:color="auto"/>
                    <w:left w:val="none" w:sz="0" w:space="0" w:color="auto"/>
                    <w:bottom w:val="none" w:sz="0" w:space="0" w:color="auto"/>
                    <w:right w:val="none" w:sz="0" w:space="0" w:color="auto"/>
                  </w:divBdr>
                  <w:divsChild>
                    <w:div w:id="1366253218">
                      <w:marLeft w:val="0"/>
                      <w:marRight w:val="0"/>
                      <w:marTop w:val="0"/>
                      <w:marBottom w:val="0"/>
                      <w:divBdr>
                        <w:top w:val="none" w:sz="0" w:space="0" w:color="auto"/>
                        <w:left w:val="none" w:sz="0" w:space="0" w:color="auto"/>
                        <w:bottom w:val="none" w:sz="0" w:space="0" w:color="auto"/>
                        <w:right w:val="none" w:sz="0" w:space="0" w:color="auto"/>
                      </w:divBdr>
                      <w:divsChild>
                        <w:div w:id="1247423279">
                          <w:marLeft w:val="0"/>
                          <w:marRight w:val="0"/>
                          <w:marTop w:val="0"/>
                          <w:marBottom w:val="0"/>
                          <w:divBdr>
                            <w:top w:val="none" w:sz="0" w:space="0" w:color="auto"/>
                            <w:left w:val="none" w:sz="0" w:space="0" w:color="auto"/>
                            <w:bottom w:val="none" w:sz="0" w:space="0" w:color="auto"/>
                            <w:right w:val="none" w:sz="0" w:space="0" w:color="auto"/>
                          </w:divBdr>
                          <w:divsChild>
                            <w:div w:id="477721643">
                              <w:marLeft w:val="0"/>
                              <w:marRight w:val="0"/>
                              <w:marTop w:val="0"/>
                              <w:marBottom w:val="0"/>
                              <w:divBdr>
                                <w:top w:val="none" w:sz="0" w:space="0" w:color="auto"/>
                                <w:left w:val="none" w:sz="0" w:space="0" w:color="auto"/>
                                <w:bottom w:val="none" w:sz="0" w:space="0" w:color="auto"/>
                                <w:right w:val="none" w:sz="0" w:space="0" w:color="auto"/>
                              </w:divBdr>
                              <w:divsChild>
                                <w:div w:id="579559631">
                                  <w:marLeft w:val="0"/>
                                  <w:marRight w:val="0"/>
                                  <w:marTop w:val="0"/>
                                  <w:marBottom w:val="0"/>
                                  <w:divBdr>
                                    <w:top w:val="none" w:sz="0" w:space="0" w:color="auto"/>
                                    <w:left w:val="none" w:sz="0" w:space="0" w:color="auto"/>
                                    <w:bottom w:val="none" w:sz="0" w:space="0" w:color="auto"/>
                                    <w:right w:val="none" w:sz="0" w:space="0" w:color="auto"/>
                                  </w:divBdr>
                                  <w:divsChild>
                                    <w:div w:id="442186810">
                                      <w:marLeft w:val="0"/>
                                      <w:marRight w:val="0"/>
                                      <w:marTop w:val="0"/>
                                      <w:marBottom w:val="0"/>
                                      <w:divBdr>
                                        <w:top w:val="single" w:sz="6" w:space="4" w:color="E0E0E0"/>
                                        <w:left w:val="single" w:sz="6" w:space="4" w:color="E0E0E0"/>
                                        <w:bottom w:val="single" w:sz="6" w:space="4" w:color="E0E0E0"/>
                                        <w:right w:val="single" w:sz="6" w:space="4" w:color="E0E0E0"/>
                                      </w:divBdr>
                                      <w:divsChild>
                                        <w:div w:id="17019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464189">
      <w:bodyDiv w:val="1"/>
      <w:marLeft w:val="0"/>
      <w:marRight w:val="0"/>
      <w:marTop w:val="0"/>
      <w:marBottom w:val="0"/>
      <w:divBdr>
        <w:top w:val="none" w:sz="0" w:space="0" w:color="auto"/>
        <w:left w:val="none" w:sz="0" w:space="0" w:color="auto"/>
        <w:bottom w:val="none" w:sz="0" w:space="0" w:color="auto"/>
        <w:right w:val="none" w:sz="0" w:space="0" w:color="auto"/>
      </w:divBdr>
    </w:div>
    <w:div w:id="10709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gov.wales/sites/default/files/publications/2024-09/single-unified-safeguarding-review-statutory-guidance.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package" Target="embeddings/Microsoft_Word_Document.docx" Id="rId14" /></Relationships>
</file>

<file path=word/_rels/header1.xml.rels><?xml version="1.0" encoding="UTF-8" standalone="yes"?>
<Relationships xmlns="http://schemas.openxmlformats.org/package/2006/relationships"><Relationship Id="rId2" Type="http://schemas.openxmlformats.org/officeDocument/2006/relationships/image" Target="cid:image002.jpg@01D7CA58.85B196E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CBC - Word" ma:contentTypeID="0x010100F62BDD624346DE44BD667E2A6833A2F300862640209B644F4895065309B47E0E5F" ma:contentTypeVersion="2" ma:contentTypeDescription="" ma:contentTypeScope="" ma:versionID="ca6ace856bc931b3497659b74ca2790e">
  <xsd:schema xmlns:xsd="http://www.w3.org/2001/XMLSchema" xmlns:xs="http://www.w3.org/2001/XMLSchema" xmlns:p="http://schemas.microsoft.com/office/2006/metadata/properties" xmlns:ns2="c40dd51c-0b93-41a3-8ce1-c0167702c6fe" targetNamespace="http://schemas.microsoft.com/office/2006/metadata/properties" ma:root="true" ma:fieldsID="1611bd98a90b787d2eafa623b5d82f38"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5d2c57-1183-427d-a604-2e0ffdafb2d4" ContentTypeId="0x010100F62BDD624346DE44BD667E2A6833A2F3" PreviousValue="false" LastSyncTimeStamp="2023-08-31T09:40:33.48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
  </documentManagement>
</p:properties>
</file>

<file path=customXml/itemProps1.xml><?xml version="1.0" encoding="utf-8"?>
<ds:datastoreItem xmlns:ds="http://schemas.openxmlformats.org/officeDocument/2006/customXml" ds:itemID="{14C6E9A0-9E35-47B5-9468-0CF80E4935A5}">
  <ds:schemaRefs>
    <ds:schemaRef ds:uri="http://schemas.openxmlformats.org/officeDocument/2006/bibliography"/>
  </ds:schemaRefs>
</ds:datastoreItem>
</file>

<file path=customXml/itemProps2.xml><?xml version="1.0" encoding="utf-8"?>
<ds:datastoreItem xmlns:ds="http://schemas.openxmlformats.org/officeDocument/2006/customXml" ds:itemID="{C6AE5187-9BE6-4825-9221-2921D7EE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11663-9D08-4EE3-8DED-63ED07AA6D66}">
  <ds:schemaRefs>
    <ds:schemaRef ds:uri="Microsoft.SharePoint.Taxonomy.ContentTypeSync"/>
  </ds:schemaRefs>
</ds:datastoreItem>
</file>

<file path=customXml/itemProps4.xml><?xml version="1.0" encoding="utf-8"?>
<ds:datastoreItem xmlns:ds="http://schemas.openxmlformats.org/officeDocument/2006/customXml" ds:itemID="{6E072AB8-C99A-4DE0-8343-0F407E8CE529}">
  <ds:schemaRefs>
    <ds:schemaRef ds:uri="http://schemas.microsoft.com/sharepoint/v3/contenttype/forms"/>
  </ds:schemaRefs>
</ds:datastoreItem>
</file>

<file path=customXml/itemProps5.xml><?xml version="1.0" encoding="utf-8"?>
<ds:datastoreItem xmlns:ds="http://schemas.openxmlformats.org/officeDocument/2006/customXml" ds:itemID="{A814333E-BA9A-454C-BFAA-785CAF85FF12}">
  <ds:schemaRefs>
    <ds:schemaRef ds:uri="http://schemas.microsoft.com/office/2006/metadata/properties"/>
    <ds:schemaRef ds:uri="http://schemas.microsoft.com/office/infopath/2007/PartnerControls"/>
    <ds:schemaRef ds:uri="c40dd51c-0b93-41a3-8ce1-c0167702c6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lides>-2147483648</ap:Slides>
  <ap:Notes>-2147483648</ap:Notes>
  <ap:HiddenSlides>-2147483648</ap:HiddenSlides>
  <ap:ScaleCrop>false</ap:ScaleCrop>
  <ap:Company>Torfaen County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PSB Report Funding Agreement for Domestic Homicide Reviews</dc:title>
  <dc:subject>Executive Decision Report Template</dc:subject>
  <dc:creator>Richard Saunders</dc:creator>
  <keywords>Exec Report,Executive Report,Report,Executive Decision</keywords>
  <dc:description/>
  <lastModifiedBy>Williams, Kate</lastModifiedBy>
  <revision>4</revision>
  <lastPrinted>2019-10-11T13:33:00.0000000Z</lastPrinted>
  <dcterms:created xsi:type="dcterms:W3CDTF">2025-03-17T20:51:00.0000000Z</dcterms:created>
  <dcterms:modified xsi:type="dcterms:W3CDTF">2025-03-19T18:08:35.4136351Z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0x010100F62BDD624346DE44BD667E2A6833A2F300862640209B644F4895065309B47E0E5F</vt:lpwstr>
  </property>
</Properties>
</file>