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7B26A" w14:textId="77777777" w:rsidR="005711E5" w:rsidRDefault="005711E5"/>
    <w:p w14:paraId="75AAF92F" w14:textId="290BE71C" w:rsidR="000B0BDA" w:rsidRDefault="000B0BDA">
      <w:r>
        <w:rPr>
          <w:noProof/>
        </w:rPr>
        <mc:AlternateContent>
          <mc:Choice Requires="wps">
            <w:drawing>
              <wp:anchor distT="0" distB="0" distL="114300" distR="114300" simplePos="0" relativeHeight="251659264" behindDoc="0" locked="0" layoutInCell="1" allowOverlap="1" wp14:anchorId="48ADD3DF" wp14:editId="54FACC36">
                <wp:simplePos x="0" y="0"/>
                <wp:positionH relativeFrom="column">
                  <wp:posOffset>38100</wp:posOffset>
                </wp:positionH>
                <wp:positionV relativeFrom="paragraph">
                  <wp:posOffset>55245</wp:posOffset>
                </wp:positionV>
                <wp:extent cx="5638800" cy="1038225"/>
                <wp:effectExtent l="0" t="0" r="19050" b="28575"/>
                <wp:wrapNone/>
                <wp:docPr id="284159190" name="Text Box 2"/>
                <wp:cNvGraphicFramePr/>
                <a:graphic xmlns:a="http://schemas.openxmlformats.org/drawingml/2006/main">
                  <a:graphicData uri="http://schemas.microsoft.com/office/word/2010/wordprocessingShape">
                    <wps:wsp>
                      <wps:cNvSpPr txBox="1"/>
                      <wps:spPr>
                        <a:xfrm>
                          <a:off x="0" y="0"/>
                          <a:ext cx="5638800" cy="1038225"/>
                        </a:xfrm>
                        <a:prstGeom prst="rect">
                          <a:avLst/>
                        </a:prstGeom>
                        <a:solidFill>
                          <a:schemeClr val="lt1"/>
                        </a:solidFill>
                        <a:ln w="6350">
                          <a:solidFill>
                            <a:prstClr val="black"/>
                          </a:solidFill>
                        </a:ln>
                      </wps:spPr>
                      <wps:txbx>
                        <w:txbxContent>
                          <w:p w14:paraId="79F29D16" w14:textId="6FFE7AA3" w:rsidR="000B0BDA" w:rsidRPr="000B0BDA" w:rsidRDefault="000B0BDA">
                            <w:pPr>
                              <w:rPr>
                                <w:rFonts w:cstheme="minorHAnsi"/>
                                <w:b/>
                                <w:bCs/>
                                <w:sz w:val="28"/>
                                <w:szCs w:val="28"/>
                              </w:rPr>
                            </w:pPr>
                            <w:r w:rsidRPr="000B0BDA">
                              <w:rPr>
                                <w:rFonts w:cstheme="minorHAnsi"/>
                                <w:b/>
                                <w:bCs/>
                                <w:sz w:val="28"/>
                                <w:szCs w:val="28"/>
                              </w:rPr>
                              <w:t>SUBJECT:</w:t>
                            </w:r>
                            <w:r w:rsidRPr="000B0BDA">
                              <w:rPr>
                                <w:rFonts w:cstheme="minorHAnsi"/>
                                <w:b/>
                                <w:bCs/>
                                <w:sz w:val="28"/>
                                <w:szCs w:val="28"/>
                              </w:rPr>
                              <w:tab/>
                              <w:t xml:space="preserve">Gwent Well-being Plan </w:t>
                            </w:r>
                            <w:r w:rsidR="00916A1E">
                              <w:rPr>
                                <w:rFonts w:cstheme="minorHAnsi"/>
                                <w:b/>
                                <w:bCs/>
                                <w:sz w:val="28"/>
                                <w:szCs w:val="28"/>
                              </w:rPr>
                              <w:t>2</w:t>
                            </w:r>
                            <w:r w:rsidR="00916A1E" w:rsidRPr="00916A1E">
                              <w:rPr>
                                <w:rFonts w:cstheme="minorHAnsi"/>
                                <w:b/>
                                <w:bCs/>
                                <w:sz w:val="28"/>
                                <w:szCs w:val="28"/>
                                <w:vertAlign w:val="superscript"/>
                              </w:rPr>
                              <w:t>nd</w:t>
                            </w:r>
                            <w:r w:rsidR="00916A1E">
                              <w:rPr>
                                <w:rFonts w:cstheme="minorHAnsi"/>
                                <w:b/>
                                <w:bCs/>
                                <w:sz w:val="28"/>
                                <w:szCs w:val="28"/>
                              </w:rPr>
                              <w:t xml:space="preserve"> </w:t>
                            </w:r>
                            <w:r w:rsidRPr="000B0BDA">
                              <w:rPr>
                                <w:rFonts w:cstheme="minorHAnsi"/>
                                <w:b/>
                                <w:bCs/>
                                <w:sz w:val="28"/>
                                <w:szCs w:val="28"/>
                              </w:rPr>
                              <w:t>Annual Report</w:t>
                            </w:r>
                          </w:p>
                          <w:p w14:paraId="3384DB41" w14:textId="3A5D80ED" w:rsidR="000B0BDA" w:rsidRPr="000B0BDA" w:rsidRDefault="000B0BDA">
                            <w:pPr>
                              <w:rPr>
                                <w:rFonts w:cstheme="minorHAnsi"/>
                                <w:b/>
                                <w:bCs/>
                                <w:sz w:val="28"/>
                                <w:szCs w:val="28"/>
                              </w:rPr>
                            </w:pPr>
                            <w:r w:rsidRPr="000B0BDA">
                              <w:rPr>
                                <w:rFonts w:cstheme="minorHAnsi"/>
                                <w:b/>
                                <w:bCs/>
                                <w:sz w:val="28"/>
                                <w:szCs w:val="28"/>
                              </w:rPr>
                              <w:t>MEETING:</w:t>
                            </w:r>
                            <w:r w:rsidRPr="000B0BDA">
                              <w:rPr>
                                <w:rFonts w:cstheme="minorHAnsi"/>
                                <w:b/>
                                <w:bCs/>
                                <w:sz w:val="28"/>
                                <w:szCs w:val="28"/>
                              </w:rPr>
                              <w:tab/>
                            </w:r>
                            <w:r>
                              <w:rPr>
                                <w:rFonts w:cstheme="minorHAnsi"/>
                                <w:b/>
                                <w:bCs/>
                                <w:sz w:val="28"/>
                                <w:szCs w:val="28"/>
                              </w:rPr>
                              <w:t xml:space="preserve">Gwent Public Services Board </w:t>
                            </w:r>
                          </w:p>
                          <w:p w14:paraId="2EEEC889" w14:textId="04B24687" w:rsidR="000B0BDA" w:rsidRPr="000B0BDA" w:rsidRDefault="000B0BDA">
                            <w:pPr>
                              <w:rPr>
                                <w:rFonts w:cstheme="minorHAnsi"/>
                                <w:b/>
                                <w:bCs/>
                                <w:sz w:val="24"/>
                                <w:szCs w:val="24"/>
                              </w:rPr>
                            </w:pPr>
                            <w:r w:rsidRPr="000B0BDA">
                              <w:rPr>
                                <w:rFonts w:cstheme="minorHAnsi"/>
                                <w:b/>
                                <w:bCs/>
                                <w:sz w:val="28"/>
                                <w:szCs w:val="28"/>
                              </w:rPr>
                              <w:t>DATE:</w:t>
                            </w:r>
                            <w:r w:rsidRPr="000B0BDA">
                              <w:rPr>
                                <w:rFonts w:cstheme="minorHAnsi"/>
                                <w:b/>
                                <w:bCs/>
                                <w:sz w:val="28"/>
                                <w:szCs w:val="28"/>
                              </w:rPr>
                              <w:tab/>
                            </w:r>
                            <w:r w:rsidRPr="000B0BDA">
                              <w:rPr>
                                <w:rFonts w:cstheme="minorHAnsi"/>
                                <w:b/>
                                <w:bCs/>
                                <w:sz w:val="28"/>
                                <w:szCs w:val="28"/>
                              </w:rPr>
                              <w:tab/>
                            </w:r>
                            <w:r w:rsidR="00B963E6">
                              <w:rPr>
                                <w:rFonts w:cstheme="minorHAnsi"/>
                                <w:b/>
                                <w:bCs/>
                                <w:sz w:val="28"/>
                                <w:szCs w:val="28"/>
                              </w:rPr>
                              <w:t>26</w:t>
                            </w:r>
                            <w:r w:rsidR="009D7476" w:rsidRPr="009D7476">
                              <w:rPr>
                                <w:rFonts w:cstheme="minorHAnsi"/>
                                <w:b/>
                                <w:bCs/>
                                <w:sz w:val="28"/>
                                <w:szCs w:val="28"/>
                                <w:vertAlign w:val="superscript"/>
                              </w:rPr>
                              <w:t>th</w:t>
                            </w:r>
                            <w:r w:rsidR="009D7476">
                              <w:rPr>
                                <w:rFonts w:cstheme="minorHAnsi"/>
                                <w:b/>
                                <w:bCs/>
                                <w:sz w:val="28"/>
                                <w:szCs w:val="28"/>
                              </w:rPr>
                              <w:t xml:space="preserve"> June </w:t>
                            </w:r>
                            <w:r>
                              <w:rPr>
                                <w:rFonts w:cstheme="minorHAnsi"/>
                                <w:b/>
                                <w:bCs/>
                                <w:sz w:val="28"/>
                                <w:szCs w:val="28"/>
                              </w:rPr>
                              <w:t>202</w:t>
                            </w:r>
                            <w:r w:rsidR="00B963E6">
                              <w:rPr>
                                <w:rFonts w:cstheme="minorHAnsi"/>
                                <w:b/>
                                <w:bCs/>
                                <w:sz w:val="28"/>
                                <w:szCs w:val="28"/>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8ADD3DF" id="_x0000_t202" coordsize="21600,21600" o:spt="202" path="m,l,21600r21600,l21600,xe">
                <v:stroke joinstyle="miter"/>
                <v:path gradientshapeok="t" o:connecttype="rect"/>
              </v:shapetype>
              <v:shape id="Text Box 2" o:spid="_x0000_s1026" type="#_x0000_t202" style="position:absolute;margin-left:3pt;margin-top:4.35pt;width:444pt;height:8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" fillcolor="white [3201]" strokeweight=".5pt">
                <v:textbox>
                  <w:txbxContent>
                    <w:p w14:paraId="79F29D16" w14:textId="6FFE7AA3" w:rsidR="000B0BDA" w:rsidRPr="000B0BDA" w:rsidRDefault="000B0BDA">
                      <w:pPr>
                        <w:rPr>
                          <w:rFonts w:cstheme="minorHAnsi"/>
                          <w:b/>
                          <w:bCs/>
                          <w:sz w:val="28"/>
                          <w:szCs w:val="28"/>
                        </w:rPr>
                      </w:pPr>
                      <w:r w:rsidRPr="000B0BDA">
                        <w:rPr>
                          <w:rFonts w:cstheme="minorHAnsi"/>
                          <w:b/>
                          <w:bCs/>
                          <w:sz w:val="28"/>
                          <w:szCs w:val="28"/>
                        </w:rPr>
                        <w:t>SUBJECT:</w:t>
                      </w:r>
                      <w:r w:rsidRPr="000B0BDA">
                        <w:rPr>
                          <w:rFonts w:cstheme="minorHAnsi"/>
                          <w:b/>
                          <w:bCs/>
                          <w:sz w:val="28"/>
                          <w:szCs w:val="28"/>
                        </w:rPr>
                        <w:tab/>
                        <w:t xml:space="preserve">Gwent Well-being Plan </w:t>
                      </w:r>
                      <w:r w:rsidR="00916A1E">
                        <w:rPr>
                          <w:rFonts w:cstheme="minorHAnsi"/>
                          <w:b/>
                          <w:bCs/>
                          <w:sz w:val="28"/>
                          <w:szCs w:val="28"/>
                        </w:rPr>
                        <w:t>2</w:t>
                      </w:r>
                      <w:r w:rsidR="00916A1E" w:rsidRPr="00916A1E">
                        <w:rPr>
                          <w:rFonts w:cstheme="minorHAnsi"/>
                          <w:b/>
                          <w:bCs/>
                          <w:sz w:val="28"/>
                          <w:szCs w:val="28"/>
                          <w:vertAlign w:val="superscript"/>
                        </w:rPr>
                        <w:t>nd</w:t>
                      </w:r>
                      <w:r w:rsidR="00916A1E">
                        <w:rPr>
                          <w:rFonts w:cstheme="minorHAnsi"/>
                          <w:b/>
                          <w:bCs/>
                          <w:sz w:val="28"/>
                          <w:szCs w:val="28"/>
                        </w:rPr>
                        <w:t xml:space="preserve"> </w:t>
                      </w:r>
                      <w:r w:rsidRPr="000B0BDA">
                        <w:rPr>
                          <w:rFonts w:cstheme="minorHAnsi"/>
                          <w:b/>
                          <w:bCs/>
                          <w:sz w:val="28"/>
                          <w:szCs w:val="28"/>
                        </w:rPr>
                        <w:t>Annual Report</w:t>
                      </w:r>
                    </w:p>
                    <w:p w14:paraId="3384DB41" w14:textId="3A5D80ED" w:rsidR="000B0BDA" w:rsidRPr="000B0BDA" w:rsidRDefault="000B0BDA">
                      <w:pPr>
                        <w:rPr>
                          <w:rFonts w:cstheme="minorHAnsi"/>
                          <w:b/>
                          <w:bCs/>
                          <w:sz w:val="28"/>
                          <w:szCs w:val="28"/>
                        </w:rPr>
                      </w:pPr>
                      <w:r w:rsidRPr="000B0BDA">
                        <w:rPr>
                          <w:rFonts w:cstheme="minorHAnsi"/>
                          <w:b/>
                          <w:bCs/>
                          <w:sz w:val="28"/>
                          <w:szCs w:val="28"/>
                        </w:rPr>
                        <w:t>MEETING:</w:t>
                      </w:r>
                      <w:r w:rsidRPr="000B0BDA">
                        <w:rPr>
                          <w:rFonts w:cstheme="minorHAnsi"/>
                          <w:b/>
                          <w:bCs/>
                          <w:sz w:val="28"/>
                          <w:szCs w:val="28"/>
                        </w:rPr>
                        <w:tab/>
                      </w:r>
                      <w:r>
                        <w:rPr>
                          <w:rFonts w:cstheme="minorHAnsi"/>
                          <w:b/>
                          <w:bCs/>
                          <w:sz w:val="28"/>
                          <w:szCs w:val="28"/>
                        </w:rPr>
                        <w:t xml:space="preserve">Gwent Public Services Board </w:t>
                      </w:r>
                    </w:p>
                    <w:p w14:paraId="2EEEC889" w14:textId="04B24687" w:rsidR="000B0BDA" w:rsidRPr="000B0BDA" w:rsidRDefault="000B0BDA">
                      <w:pPr>
                        <w:rPr>
                          <w:rFonts w:cstheme="minorHAnsi"/>
                          <w:b/>
                          <w:bCs/>
                          <w:sz w:val="24"/>
                          <w:szCs w:val="24"/>
                        </w:rPr>
                      </w:pPr>
                      <w:r w:rsidRPr="000B0BDA">
                        <w:rPr>
                          <w:rFonts w:cstheme="minorHAnsi"/>
                          <w:b/>
                          <w:bCs/>
                          <w:sz w:val="28"/>
                          <w:szCs w:val="28"/>
                        </w:rPr>
                        <w:t>DATE:</w:t>
                      </w:r>
                      <w:r w:rsidRPr="000B0BDA">
                        <w:rPr>
                          <w:rFonts w:cstheme="minorHAnsi"/>
                          <w:b/>
                          <w:bCs/>
                          <w:sz w:val="28"/>
                          <w:szCs w:val="28"/>
                        </w:rPr>
                        <w:tab/>
                      </w:r>
                      <w:r w:rsidRPr="000B0BDA">
                        <w:rPr>
                          <w:rFonts w:cstheme="minorHAnsi"/>
                          <w:b/>
                          <w:bCs/>
                          <w:sz w:val="28"/>
                          <w:szCs w:val="28"/>
                        </w:rPr>
                        <w:tab/>
                      </w:r>
                      <w:r w:rsidR="00B963E6">
                        <w:rPr>
                          <w:rFonts w:cstheme="minorHAnsi"/>
                          <w:b/>
                          <w:bCs/>
                          <w:sz w:val="28"/>
                          <w:szCs w:val="28"/>
                        </w:rPr>
                        <w:t>26</w:t>
                      </w:r>
                      <w:r w:rsidR="009D7476" w:rsidRPr="009D7476">
                        <w:rPr>
                          <w:rFonts w:cstheme="minorHAnsi"/>
                          <w:b/>
                          <w:bCs/>
                          <w:sz w:val="28"/>
                          <w:szCs w:val="28"/>
                          <w:vertAlign w:val="superscript"/>
                        </w:rPr>
                        <w:t>th</w:t>
                      </w:r>
                      <w:r w:rsidR="009D7476">
                        <w:rPr>
                          <w:rFonts w:cstheme="minorHAnsi"/>
                          <w:b/>
                          <w:bCs/>
                          <w:sz w:val="28"/>
                          <w:szCs w:val="28"/>
                        </w:rPr>
                        <w:t xml:space="preserve"> June </w:t>
                      </w:r>
                      <w:r>
                        <w:rPr>
                          <w:rFonts w:cstheme="minorHAnsi"/>
                          <w:b/>
                          <w:bCs/>
                          <w:sz w:val="28"/>
                          <w:szCs w:val="28"/>
                        </w:rPr>
                        <w:t>202</w:t>
                      </w:r>
                      <w:r w:rsidR="00B963E6">
                        <w:rPr>
                          <w:rFonts w:cstheme="minorHAnsi"/>
                          <w:b/>
                          <w:bCs/>
                          <w:sz w:val="28"/>
                          <w:szCs w:val="28"/>
                        </w:rPr>
                        <w:t>5</w:t>
                      </w:r>
                    </w:p>
                  </w:txbxContent>
                </v:textbox>
              </v:shape>
            </w:pict>
          </mc:Fallback>
        </mc:AlternateContent>
      </w:r>
    </w:p>
    <w:p w14:paraId="4BD81AC9" w14:textId="77777777" w:rsidR="000B0BDA" w:rsidRDefault="000B0BDA"/>
    <w:p w14:paraId="266A2C1F" w14:textId="77777777" w:rsidR="000B0BDA" w:rsidRDefault="000B0BDA"/>
    <w:p w14:paraId="6683841E" w14:textId="77777777" w:rsidR="000B0BDA" w:rsidRDefault="000B0BDA"/>
    <w:p w14:paraId="1A784412" w14:textId="77777777" w:rsidR="000B0BDA" w:rsidRDefault="000B0BDA"/>
    <w:p w14:paraId="694CBC26" w14:textId="16765DF2" w:rsidR="000B0BDA" w:rsidRDefault="000B0BDA" w:rsidP="00AE13D2">
      <w:pPr>
        <w:spacing w:after="0"/>
        <w:rPr>
          <w:b/>
          <w:bCs/>
          <w:sz w:val="24"/>
          <w:szCs w:val="24"/>
        </w:rPr>
      </w:pPr>
      <w:r>
        <w:rPr>
          <w:b/>
          <w:bCs/>
          <w:sz w:val="24"/>
          <w:szCs w:val="24"/>
        </w:rPr>
        <w:t>1.</w:t>
      </w:r>
      <w:r>
        <w:rPr>
          <w:b/>
          <w:bCs/>
          <w:sz w:val="24"/>
          <w:szCs w:val="24"/>
        </w:rPr>
        <w:tab/>
        <w:t>PURPOSE</w:t>
      </w:r>
    </w:p>
    <w:p w14:paraId="76AF7417" w14:textId="48839B78" w:rsidR="000B0BDA" w:rsidRDefault="000B0BDA" w:rsidP="009D7476">
      <w:pPr>
        <w:ind w:left="720" w:hanging="720"/>
        <w:rPr>
          <w:sz w:val="24"/>
          <w:szCs w:val="24"/>
        </w:rPr>
      </w:pPr>
      <w:r w:rsidRPr="000B0BDA">
        <w:rPr>
          <w:sz w:val="24"/>
          <w:szCs w:val="24"/>
        </w:rPr>
        <w:t>1.1</w:t>
      </w:r>
      <w:r>
        <w:rPr>
          <w:sz w:val="24"/>
          <w:szCs w:val="24"/>
        </w:rPr>
        <w:tab/>
        <w:t>T</w:t>
      </w:r>
      <w:r w:rsidRPr="000B0BDA">
        <w:rPr>
          <w:sz w:val="24"/>
          <w:szCs w:val="24"/>
        </w:rPr>
        <w:t xml:space="preserve">o </w:t>
      </w:r>
      <w:r w:rsidR="00916A1E">
        <w:rPr>
          <w:sz w:val="24"/>
          <w:szCs w:val="24"/>
        </w:rPr>
        <w:t>update the PSB on the development of the second</w:t>
      </w:r>
      <w:r w:rsidRPr="000B0BDA">
        <w:rPr>
          <w:sz w:val="24"/>
          <w:szCs w:val="24"/>
        </w:rPr>
        <w:t xml:space="preserve"> annual progress report on the Gwent Well-being Plan.</w:t>
      </w:r>
    </w:p>
    <w:p w14:paraId="2608F6B7" w14:textId="71D7C64C" w:rsidR="000B0BDA" w:rsidRDefault="000B0BDA" w:rsidP="000B0BDA">
      <w:pPr>
        <w:spacing w:after="0"/>
        <w:rPr>
          <w:b/>
          <w:bCs/>
          <w:sz w:val="24"/>
          <w:szCs w:val="24"/>
        </w:rPr>
      </w:pPr>
      <w:r w:rsidRPr="000B0BDA">
        <w:rPr>
          <w:b/>
          <w:bCs/>
          <w:sz w:val="24"/>
          <w:szCs w:val="24"/>
        </w:rPr>
        <w:t>2.</w:t>
      </w:r>
      <w:r w:rsidRPr="000B0BDA">
        <w:rPr>
          <w:b/>
          <w:bCs/>
          <w:sz w:val="24"/>
          <w:szCs w:val="24"/>
        </w:rPr>
        <w:tab/>
        <w:t>RECOMMENDATIONS</w:t>
      </w:r>
    </w:p>
    <w:p w14:paraId="3B807114" w14:textId="11693C97" w:rsidR="005E6CDC" w:rsidRDefault="000B0BDA" w:rsidP="00A87E19">
      <w:pPr>
        <w:ind w:left="720" w:hanging="720"/>
        <w:rPr>
          <w:sz w:val="24"/>
          <w:szCs w:val="24"/>
        </w:rPr>
      </w:pPr>
      <w:r>
        <w:rPr>
          <w:sz w:val="24"/>
          <w:szCs w:val="24"/>
        </w:rPr>
        <w:t>2.1</w:t>
      </w:r>
      <w:r>
        <w:rPr>
          <w:sz w:val="24"/>
          <w:szCs w:val="24"/>
        </w:rPr>
        <w:tab/>
      </w:r>
      <w:r w:rsidRPr="000B0BDA">
        <w:rPr>
          <w:sz w:val="24"/>
          <w:szCs w:val="24"/>
        </w:rPr>
        <w:t xml:space="preserve">That the PSB </w:t>
      </w:r>
      <w:r w:rsidR="00916A1E">
        <w:rPr>
          <w:sz w:val="24"/>
          <w:szCs w:val="24"/>
        </w:rPr>
        <w:t>agree</w:t>
      </w:r>
      <w:r w:rsidRPr="000B0BDA">
        <w:rPr>
          <w:sz w:val="24"/>
          <w:szCs w:val="24"/>
        </w:rPr>
        <w:t>s the</w:t>
      </w:r>
      <w:r>
        <w:rPr>
          <w:sz w:val="24"/>
          <w:szCs w:val="24"/>
        </w:rPr>
        <w:t xml:space="preserve"> </w:t>
      </w:r>
      <w:r w:rsidR="00916A1E">
        <w:rPr>
          <w:sz w:val="24"/>
          <w:szCs w:val="24"/>
        </w:rPr>
        <w:t xml:space="preserve">framework for the Annual report as presented. </w:t>
      </w:r>
    </w:p>
    <w:p w14:paraId="20C9D7D7" w14:textId="746AE7C4" w:rsidR="00BD1CD8" w:rsidRDefault="005E6CDC" w:rsidP="00916A1E">
      <w:pPr>
        <w:ind w:left="720" w:hanging="720"/>
        <w:rPr>
          <w:sz w:val="24"/>
          <w:szCs w:val="24"/>
        </w:rPr>
      </w:pPr>
      <w:r>
        <w:rPr>
          <w:sz w:val="24"/>
          <w:szCs w:val="24"/>
        </w:rPr>
        <w:t>2.2</w:t>
      </w:r>
      <w:r>
        <w:rPr>
          <w:sz w:val="24"/>
          <w:szCs w:val="24"/>
        </w:rPr>
        <w:tab/>
        <w:t>That the PSB</w:t>
      </w:r>
      <w:r w:rsidR="000B0BDA" w:rsidRPr="000B0BDA">
        <w:rPr>
          <w:sz w:val="24"/>
          <w:szCs w:val="24"/>
        </w:rPr>
        <w:t xml:space="preserve"> </w:t>
      </w:r>
      <w:r w:rsidR="00916A1E">
        <w:rPr>
          <w:sz w:val="24"/>
          <w:szCs w:val="24"/>
        </w:rPr>
        <w:t xml:space="preserve">agrees the timeline and the resources to produce the Annual Report in line with the Well-being of Future Generations Act. </w:t>
      </w:r>
      <w:r w:rsidR="00BD1CD8">
        <w:rPr>
          <w:sz w:val="24"/>
          <w:szCs w:val="24"/>
        </w:rPr>
        <w:t xml:space="preserve"> </w:t>
      </w:r>
    </w:p>
    <w:p w14:paraId="3ADFDD16" w14:textId="6E95121C" w:rsidR="000B0BDA" w:rsidRPr="000B0BDA" w:rsidRDefault="000B0BDA" w:rsidP="000B0BDA">
      <w:pPr>
        <w:spacing w:after="0"/>
        <w:ind w:left="720" w:hanging="720"/>
        <w:rPr>
          <w:b/>
          <w:bCs/>
          <w:sz w:val="24"/>
          <w:szCs w:val="24"/>
        </w:rPr>
      </w:pPr>
      <w:r>
        <w:rPr>
          <w:b/>
          <w:bCs/>
          <w:sz w:val="24"/>
          <w:szCs w:val="24"/>
        </w:rPr>
        <w:t>3.</w:t>
      </w:r>
      <w:r>
        <w:rPr>
          <w:b/>
          <w:bCs/>
          <w:sz w:val="24"/>
          <w:szCs w:val="24"/>
        </w:rPr>
        <w:tab/>
        <w:t>BACKGROUND</w:t>
      </w:r>
    </w:p>
    <w:p w14:paraId="68AF42B9" w14:textId="75D38686" w:rsidR="000B0BDA" w:rsidRPr="000B0BDA" w:rsidRDefault="000B0BDA" w:rsidP="00A87E19">
      <w:pPr>
        <w:ind w:left="720" w:hanging="720"/>
        <w:rPr>
          <w:sz w:val="24"/>
          <w:szCs w:val="24"/>
        </w:rPr>
      </w:pPr>
      <w:r w:rsidRPr="000B0BDA">
        <w:rPr>
          <w:sz w:val="24"/>
          <w:szCs w:val="24"/>
        </w:rPr>
        <w:t>3.1</w:t>
      </w:r>
      <w:r>
        <w:rPr>
          <w:sz w:val="24"/>
          <w:szCs w:val="24"/>
        </w:rPr>
        <w:tab/>
      </w:r>
      <w:r w:rsidRPr="000B0BDA">
        <w:rPr>
          <w:sz w:val="24"/>
          <w:szCs w:val="24"/>
        </w:rPr>
        <w:t>The Gwent Public Services Board (PSB) was set up under the Well-being of Future Generations (Wales) Act 2015 as a way for public bodies to work together to take a long-term joined-up approach to improving economic, social, environmental and cultural well-being</w:t>
      </w:r>
      <w:r w:rsidR="00A87E19">
        <w:rPr>
          <w:sz w:val="24"/>
          <w:szCs w:val="24"/>
        </w:rPr>
        <w:t>.</w:t>
      </w:r>
    </w:p>
    <w:p w14:paraId="7A5DE2BD" w14:textId="65110FEB" w:rsidR="00A87E19" w:rsidRPr="000B0BDA" w:rsidRDefault="000B0BDA" w:rsidP="00916A1E">
      <w:pPr>
        <w:ind w:left="720" w:hanging="720"/>
        <w:rPr>
          <w:sz w:val="24"/>
          <w:szCs w:val="24"/>
        </w:rPr>
      </w:pPr>
      <w:r>
        <w:rPr>
          <w:sz w:val="24"/>
          <w:szCs w:val="24"/>
        </w:rPr>
        <w:t>3.2</w:t>
      </w:r>
      <w:r>
        <w:rPr>
          <w:sz w:val="24"/>
          <w:szCs w:val="24"/>
        </w:rPr>
        <w:tab/>
      </w:r>
      <w:r w:rsidRPr="000B0BDA">
        <w:rPr>
          <w:sz w:val="24"/>
          <w:szCs w:val="24"/>
        </w:rPr>
        <w:t>The Act requires that the PSB sets out how they will do this through a Well-being Plan. This plan must follow the sustainable development principles; to act in a manner that seeks to ensure that the needs of the present are met without compromising the ability of future generations to meet their own needs.</w:t>
      </w:r>
      <w:r w:rsidR="00A87E19">
        <w:rPr>
          <w:sz w:val="24"/>
          <w:szCs w:val="24"/>
        </w:rPr>
        <w:t xml:space="preserve"> </w:t>
      </w:r>
    </w:p>
    <w:p w14:paraId="28D95CC6" w14:textId="4239C987" w:rsidR="000B0BDA" w:rsidRPr="000B0BDA" w:rsidRDefault="000B0BDA" w:rsidP="00A87E19">
      <w:pPr>
        <w:ind w:left="720" w:hanging="720"/>
        <w:rPr>
          <w:sz w:val="24"/>
          <w:szCs w:val="24"/>
        </w:rPr>
      </w:pPr>
      <w:r>
        <w:rPr>
          <w:sz w:val="24"/>
          <w:szCs w:val="24"/>
        </w:rPr>
        <w:t>3.3</w:t>
      </w:r>
      <w:r>
        <w:rPr>
          <w:sz w:val="24"/>
          <w:szCs w:val="24"/>
        </w:rPr>
        <w:tab/>
      </w:r>
      <w:r w:rsidRPr="000B0BDA">
        <w:rPr>
          <w:sz w:val="24"/>
          <w:szCs w:val="24"/>
        </w:rPr>
        <w:t>The PSB agreed its first regional Well-being Plan, covering the period 2023 to 2028, in July 2023.  The PSB is required to report on the steps they have taken to meet the objectives set out in the Well-being Plan through a progress report annually</w:t>
      </w:r>
      <w:r w:rsidR="00916A1E">
        <w:rPr>
          <w:sz w:val="24"/>
          <w:szCs w:val="24"/>
        </w:rPr>
        <w:t>.</w:t>
      </w:r>
    </w:p>
    <w:p w14:paraId="2679D5CE" w14:textId="0D320A60" w:rsidR="000B0BDA" w:rsidRPr="008A4D9D" w:rsidRDefault="000B0BDA" w:rsidP="00A87E19">
      <w:pPr>
        <w:ind w:left="720" w:hanging="720"/>
        <w:rPr>
          <w:sz w:val="24"/>
          <w:szCs w:val="24"/>
        </w:rPr>
      </w:pPr>
      <w:r>
        <w:rPr>
          <w:sz w:val="24"/>
          <w:szCs w:val="24"/>
        </w:rPr>
        <w:t>3.4</w:t>
      </w:r>
      <w:r>
        <w:rPr>
          <w:sz w:val="24"/>
          <w:szCs w:val="24"/>
        </w:rPr>
        <w:tab/>
      </w:r>
      <w:r w:rsidRPr="008A4D9D">
        <w:rPr>
          <w:sz w:val="24"/>
          <w:szCs w:val="24"/>
        </w:rPr>
        <w:t xml:space="preserve">This Annual Progress Report is the </w:t>
      </w:r>
      <w:r w:rsidR="00B963E6">
        <w:rPr>
          <w:sz w:val="24"/>
          <w:szCs w:val="24"/>
        </w:rPr>
        <w:t>second</w:t>
      </w:r>
      <w:r w:rsidRPr="008A4D9D">
        <w:rPr>
          <w:sz w:val="24"/>
          <w:szCs w:val="24"/>
        </w:rPr>
        <w:t xml:space="preserve"> detailing progress on the Gwent Well-being Plan and covers the period </w:t>
      </w:r>
      <w:r w:rsidR="008A4D9D" w:rsidRPr="008A4D9D">
        <w:rPr>
          <w:sz w:val="24"/>
          <w:szCs w:val="24"/>
        </w:rPr>
        <w:t>April</w:t>
      </w:r>
      <w:r w:rsidRPr="008A4D9D">
        <w:rPr>
          <w:sz w:val="24"/>
          <w:szCs w:val="24"/>
        </w:rPr>
        <w:t xml:space="preserve"> 2024</w:t>
      </w:r>
      <w:r w:rsidR="008A4D9D" w:rsidRPr="008A4D9D">
        <w:rPr>
          <w:sz w:val="24"/>
          <w:szCs w:val="24"/>
        </w:rPr>
        <w:t xml:space="preserve"> – March 2025</w:t>
      </w:r>
      <w:r w:rsidRPr="008A4D9D">
        <w:rPr>
          <w:sz w:val="24"/>
          <w:szCs w:val="24"/>
        </w:rPr>
        <w:t xml:space="preserve">.   </w:t>
      </w:r>
    </w:p>
    <w:p w14:paraId="259B6508" w14:textId="24F2EA79" w:rsidR="004C7F5E" w:rsidRDefault="004C7F5E" w:rsidP="000B0BDA">
      <w:pPr>
        <w:spacing w:after="0"/>
        <w:ind w:left="720" w:hanging="720"/>
        <w:rPr>
          <w:b/>
          <w:bCs/>
          <w:sz w:val="24"/>
          <w:szCs w:val="24"/>
        </w:rPr>
      </w:pPr>
      <w:r w:rsidRPr="008A4D9D">
        <w:rPr>
          <w:b/>
          <w:bCs/>
          <w:sz w:val="24"/>
          <w:szCs w:val="24"/>
        </w:rPr>
        <w:t>4.</w:t>
      </w:r>
      <w:r w:rsidRPr="008A4D9D">
        <w:rPr>
          <w:b/>
          <w:bCs/>
          <w:sz w:val="24"/>
          <w:szCs w:val="24"/>
        </w:rPr>
        <w:tab/>
        <w:t>KEY ISSUES</w:t>
      </w:r>
    </w:p>
    <w:p w14:paraId="4EB53ABE" w14:textId="199B6504" w:rsidR="008A4D9D" w:rsidRDefault="004C7F5E" w:rsidP="008A4D9D">
      <w:pPr>
        <w:ind w:left="720" w:hanging="720"/>
        <w:rPr>
          <w:sz w:val="24"/>
          <w:szCs w:val="24"/>
        </w:rPr>
      </w:pPr>
      <w:r>
        <w:rPr>
          <w:sz w:val="24"/>
          <w:szCs w:val="24"/>
        </w:rPr>
        <w:t>4.1</w:t>
      </w:r>
      <w:r>
        <w:rPr>
          <w:sz w:val="24"/>
          <w:szCs w:val="24"/>
        </w:rPr>
        <w:tab/>
      </w:r>
      <w:r w:rsidR="008A4D9D">
        <w:rPr>
          <w:sz w:val="24"/>
          <w:szCs w:val="24"/>
        </w:rPr>
        <w:t>It is suggested that t</w:t>
      </w:r>
      <w:r>
        <w:rPr>
          <w:sz w:val="24"/>
          <w:szCs w:val="24"/>
        </w:rPr>
        <w:t xml:space="preserve">he </w:t>
      </w:r>
      <w:r w:rsidR="008A4D9D">
        <w:rPr>
          <w:sz w:val="24"/>
          <w:szCs w:val="24"/>
        </w:rPr>
        <w:t xml:space="preserve">second Annual Report will take a similar format to last year’s report, with updates on various areas of work where appropriate. </w:t>
      </w:r>
    </w:p>
    <w:p w14:paraId="7380C9BC" w14:textId="180E4408" w:rsidR="00A87E19" w:rsidRDefault="004C7F5E" w:rsidP="008A4D9D">
      <w:pPr>
        <w:ind w:left="720" w:hanging="720"/>
        <w:rPr>
          <w:sz w:val="24"/>
          <w:szCs w:val="24"/>
        </w:rPr>
      </w:pPr>
      <w:r>
        <w:rPr>
          <w:sz w:val="24"/>
          <w:szCs w:val="24"/>
        </w:rPr>
        <w:t>4.2</w:t>
      </w:r>
      <w:r>
        <w:rPr>
          <w:sz w:val="24"/>
          <w:szCs w:val="24"/>
        </w:rPr>
        <w:tab/>
      </w:r>
      <w:r w:rsidR="008A4D9D">
        <w:rPr>
          <w:sz w:val="24"/>
          <w:szCs w:val="24"/>
        </w:rPr>
        <w:t xml:space="preserve">This approach will acknowledge the challenges affecting the PSB in delivering on its Well-being Plan while demonstrating that progress is being made in many areas. </w:t>
      </w:r>
    </w:p>
    <w:p w14:paraId="0FCBC456" w14:textId="141AF2C5" w:rsidR="00C64F60" w:rsidRDefault="008A4D9D" w:rsidP="00C64F60">
      <w:pPr>
        <w:ind w:left="720" w:hanging="720"/>
        <w:rPr>
          <w:sz w:val="24"/>
          <w:szCs w:val="24"/>
        </w:rPr>
      </w:pPr>
      <w:r>
        <w:rPr>
          <w:sz w:val="24"/>
          <w:szCs w:val="24"/>
        </w:rPr>
        <w:t>4.3</w:t>
      </w:r>
      <w:r>
        <w:rPr>
          <w:sz w:val="24"/>
          <w:szCs w:val="24"/>
        </w:rPr>
        <w:tab/>
        <w:t xml:space="preserve">The suggested outline for the Annual report </w:t>
      </w:r>
      <w:r w:rsidR="00C64F60">
        <w:rPr>
          <w:sz w:val="24"/>
          <w:szCs w:val="24"/>
        </w:rPr>
        <w:t>is detailed in Appendix 1.</w:t>
      </w:r>
    </w:p>
    <w:p w14:paraId="091C6747" w14:textId="6402A9EA" w:rsidR="00C64F60" w:rsidRDefault="00C64F60" w:rsidP="00C64F60">
      <w:pPr>
        <w:ind w:left="720" w:hanging="720"/>
        <w:rPr>
          <w:sz w:val="24"/>
          <w:szCs w:val="24"/>
        </w:rPr>
      </w:pPr>
      <w:r>
        <w:rPr>
          <w:sz w:val="24"/>
          <w:szCs w:val="24"/>
        </w:rPr>
        <w:t>4.4</w:t>
      </w:r>
      <w:r>
        <w:rPr>
          <w:sz w:val="24"/>
          <w:szCs w:val="24"/>
        </w:rPr>
        <w:tab/>
        <w:t>The final report will be presented to the PSB meeting on 25</w:t>
      </w:r>
      <w:r w:rsidRPr="00C64F60">
        <w:rPr>
          <w:sz w:val="24"/>
          <w:szCs w:val="24"/>
          <w:vertAlign w:val="superscript"/>
        </w:rPr>
        <w:t>th</w:t>
      </w:r>
      <w:r>
        <w:rPr>
          <w:sz w:val="24"/>
          <w:szCs w:val="24"/>
        </w:rPr>
        <w:t xml:space="preserve"> September for sign off before being sent to Welsh Government ministers, the Future Generations Commissioner and the Auditor General. </w:t>
      </w:r>
    </w:p>
    <w:p w14:paraId="66AE5275" w14:textId="77777777" w:rsidR="004F737B" w:rsidRDefault="004F737B" w:rsidP="004F737B">
      <w:pPr>
        <w:ind w:left="720" w:hanging="720"/>
        <w:rPr>
          <w:sz w:val="24"/>
          <w:szCs w:val="24"/>
        </w:rPr>
      </w:pPr>
    </w:p>
    <w:p w14:paraId="27A2088B" w14:textId="750F4A9D" w:rsidR="008A4D9D" w:rsidRPr="00C64F60" w:rsidRDefault="009D7476" w:rsidP="004F737B">
      <w:pPr>
        <w:ind w:left="720" w:hanging="720"/>
        <w:rPr>
          <w:sz w:val="24"/>
          <w:szCs w:val="24"/>
        </w:rPr>
      </w:pPr>
      <w:r>
        <w:rPr>
          <w:sz w:val="24"/>
          <w:szCs w:val="24"/>
        </w:rPr>
        <w:t xml:space="preserve">4.5 </w:t>
      </w:r>
      <w:r>
        <w:rPr>
          <w:sz w:val="24"/>
          <w:szCs w:val="24"/>
        </w:rPr>
        <w:tab/>
        <w:t xml:space="preserve">Once agreed English, Welsh and Easy Read versions of the Annual Report will be available via the Gwent PSB’s website. </w:t>
      </w:r>
      <w:r w:rsidR="008A4D9D" w:rsidRPr="008A4D9D">
        <w:rPr>
          <w:sz w:val="24"/>
          <w:szCs w:val="24"/>
        </w:rPr>
        <w:tab/>
      </w:r>
    </w:p>
    <w:p w14:paraId="0F3E6B43" w14:textId="2D9E06DA" w:rsidR="00A87E19" w:rsidRPr="00AE13D2" w:rsidRDefault="00A87E19" w:rsidP="00AE13D2">
      <w:pPr>
        <w:spacing w:after="0"/>
        <w:ind w:left="720" w:hanging="720"/>
        <w:rPr>
          <w:b/>
          <w:bCs/>
          <w:sz w:val="24"/>
          <w:szCs w:val="24"/>
        </w:rPr>
      </w:pPr>
      <w:r w:rsidRPr="00AE13D2">
        <w:rPr>
          <w:b/>
          <w:bCs/>
          <w:sz w:val="24"/>
          <w:szCs w:val="24"/>
        </w:rPr>
        <w:t>5.</w:t>
      </w:r>
      <w:r w:rsidRPr="00AE13D2">
        <w:rPr>
          <w:b/>
          <w:bCs/>
          <w:sz w:val="24"/>
          <w:szCs w:val="24"/>
        </w:rPr>
        <w:tab/>
        <w:t>RESOURCES</w:t>
      </w:r>
      <w:r w:rsidRPr="00AE13D2">
        <w:rPr>
          <w:b/>
          <w:bCs/>
          <w:sz w:val="24"/>
          <w:szCs w:val="24"/>
        </w:rPr>
        <w:tab/>
      </w:r>
    </w:p>
    <w:p w14:paraId="2F5DCE65" w14:textId="6CEBF794" w:rsidR="00A87E19" w:rsidRDefault="00A87E19" w:rsidP="00A87E19">
      <w:pPr>
        <w:ind w:left="720" w:hanging="720"/>
        <w:rPr>
          <w:sz w:val="24"/>
          <w:szCs w:val="24"/>
        </w:rPr>
      </w:pPr>
      <w:r>
        <w:rPr>
          <w:sz w:val="24"/>
          <w:szCs w:val="24"/>
        </w:rPr>
        <w:t>5.1</w:t>
      </w:r>
      <w:r>
        <w:rPr>
          <w:sz w:val="24"/>
          <w:szCs w:val="24"/>
        </w:rPr>
        <w:tab/>
        <w:t xml:space="preserve">The Annual Report </w:t>
      </w:r>
      <w:r w:rsidR="00C64F60">
        <w:rPr>
          <w:sz w:val="24"/>
          <w:szCs w:val="24"/>
        </w:rPr>
        <w:t>will</w:t>
      </w:r>
      <w:r>
        <w:rPr>
          <w:sz w:val="24"/>
          <w:szCs w:val="24"/>
        </w:rPr>
        <w:t xml:space="preserve"> prepared by officers sitting within each of the </w:t>
      </w:r>
      <w:r w:rsidR="00AE13D2">
        <w:rPr>
          <w:sz w:val="24"/>
          <w:szCs w:val="24"/>
        </w:rPr>
        <w:t>partnership</w:t>
      </w:r>
      <w:r>
        <w:rPr>
          <w:sz w:val="24"/>
          <w:szCs w:val="24"/>
        </w:rPr>
        <w:t xml:space="preserve"> organisations. </w:t>
      </w:r>
    </w:p>
    <w:p w14:paraId="4A9F59A6" w14:textId="3C75F68B" w:rsidR="00A87E19" w:rsidRDefault="00A87E19" w:rsidP="00AE13D2">
      <w:pPr>
        <w:ind w:left="720" w:hanging="720"/>
        <w:rPr>
          <w:sz w:val="24"/>
          <w:szCs w:val="24"/>
        </w:rPr>
      </w:pPr>
      <w:r>
        <w:rPr>
          <w:sz w:val="24"/>
          <w:szCs w:val="24"/>
        </w:rPr>
        <w:t>5.2</w:t>
      </w:r>
      <w:r>
        <w:rPr>
          <w:sz w:val="24"/>
          <w:szCs w:val="24"/>
        </w:rPr>
        <w:tab/>
        <w:t xml:space="preserve">Resourcing for the delivery of the Well-being Plan comes from the PSB organisations </w:t>
      </w:r>
      <w:r w:rsidR="00AE13D2">
        <w:rPr>
          <w:sz w:val="24"/>
          <w:szCs w:val="24"/>
        </w:rPr>
        <w:t>existing</w:t>
      </w:r>
      <w:r>
        <w:rPr>
          <w:sz w:val="24"/>
          <w:szCs w:val="24"/>
        </w:rPr>
        <w:t xml:space="preserve"> budgets. </w:t>
      </w:r>
      <w:r w:rsidR="00AE13D2" w:rsidRPr="00AE13D2">
        <w:rPr>
          <w:sz w:val="24"/>
          <w:szCs w:val="24"/>
        </w:rPr>
        <w:t xml:space="preserve">The leadership group(s) </w:t>
      </w:r>
      <w:r w:rsidR="00C64F60">
        <w:rPr>
          <w:sz w:val="24"/>
          <w:szCs w:val="24"/>
        </w:rPr>
        <w:t xml:space="preserve">are </w:t>
      </w:r>
      <w:r w:rsidR="00AE13D2" w:rsidRPr="00AE13D2">
        <w:rPr>
          <w:sz w:val="24"/>
          <w:szCs w:val="24"/>
        </w:rPr>
        <w:t>responsible for identifying the resource requirement to deliver the PSB ambitions.</w:t>
      </w:r>
    </w:p>
    <w:p w14:paraId="44859452" w14:textId="11572BB1" w:rsidR="00AE13D2" w:rsidRPr="00AE13D2" w:rsidRDefault="00AE13D2" w:rsidP="00AE13D2">
      <w:pPr>
        <w:spacing w:after="0"/>
        <w:ind w:left="720" w:hanging="720"/>
        <w:rPr>
          <w:b/>
          <w:bCs/>
          <w:sz w:val="24"/>
          <w:szCs w:val="24"/>
        </w:rPr>
      </w:pPr>
      <w:r w:rsidRPr="00AE13D2">
        <w:rPr>
          <w:b/>
          <w:bCs/>
          <w:sz w:val="24"/>
          <w:szCs w:val="24"/>
        </w:rPr>
        <w:t>6.</w:t>
      </w:r>
      <w:r w:rsidRPr="00AE13D2">
        <w:rPr>
          <w:b/>
          <w:bCs/>
          <w:sz w:val="24"/>
          <w:szCs w:val="24"/>
        </w:rPr>
        <w:tab/>
        <w:t>AUTHORS</w:t>
      </w:r>
    </w:p>
    <w:p w14:paraId="364684A0" w14:textId="5F8AB2D5" w:rsidR="000B0BDA" w:rsidRDefault="00AE13D2" w:rsidP="00AE13D2">
      <w:pPr>
        <w:ind w:left="720"/>
        <w:rPr>
          <w:sz w:val="24"/>
          <w:szCs w:val="24"/>
        </w:rPr>
      </w:pPr>
      <w:r w:rsidRPr="00AE13D2">
        <w:rPr>
          <w:sz w:val="24"/>
          <w:szCs w:val="24"/>
        </w:rPr>
        <w:t>Gwent Strategic Well</w:t>
      </w:r>
      <w:r>
        <w:rPr>
          <w:sz w:val="24"/>
          <w:szCs w:val="24"/>
        </w:rPr>
        <w:noBreakHyphen/>
      </w:r>
      <w:r w:rsidRPr="00AE13D2">
        <w:rPr>
          <w:sz w:val="24"/>
          <w:szCs w:val="24"/>
        </w:rPr>
        <w:t>being Action Group</w:t>
      </w:r>
    </w:p>
    <w:p w14:paraId="154B0C23" w14:textId="77777777" w:rsidR="00AE13D2" w:rsidRPr="00AE13D2" w:rsidRDefault="00AE13D2" w:rsidP="00AE13D2">
      <w:pPr>
        <w:spacing w:after="0"/>
        <w:ind w:left="720"/>
        <w:rPr>
          <w:sz w:val="24"/>
          <w:szCs w:val="24"/>
        </w:rPr>
      </w:pPr>
    </w:p>
    <w:p w14:paraId="15773A45" w14:textId="77777777" w:rsidR="000B0BDA" w:rsidRPr="000B0BDA" w:rsidRDefault="000B0BDA" w:rsidP="000B0BDA">
      <w:pPr>
        <w:spacing w:after="0"/>
        <w:rPr>
          <w:b/>
          <w:bCs/>
          <w:sz w:val="24"/>
          <w:szCs w:val="24"/>
        </w:rPr>
      </w:pPr>
    </w:p>
    <w:p w14:paraId="492E703A" w14:textId="77777777" w:rsidR="000B0BDA" w:rsidRPr="000B0BDA" w:rsidRDefault="000B0BDA">
      <w:pPr>
        <w:rPr>
          <w:sz w:val="24"/>
          <w:szCs w:val="24"/>
        </w:rPr>
      </w:pPr>
    </w:p>
    <w:p w14:paraId="74373C35" w14:textId="1FEADEB6" w:rsidR="000B0BDA" w:rsidRPr="000B0BDA" w:rsidRDefault="000B0BDA">
      <w:pPr>
        <w:rPr>
          <w:sz w:val="24"/>
          <w:szCs w:val="24"/>
        </w:rPr>
      </w:pPr>
      <w:r w:rsidRPr="000B0BDA">
        <w:rPr>
          <w:sz w:val="24"/>
          <w:szCs w:val="24"/>
        </w:rPr>
        <w:t xml:space="preserve">Appendix 1 </w:t>
      </w:r>
      <w:r w:rsidR="00C64F60">
        <w:rPr>
          <w:sz w:val="24"/>
          <w:szCs w:val="24"/>
        </w:rPr>
        <w:t>Annual report 2025 Framework</w:t>
      </w:r>
    </w:p>
    <w:sectPr w:rsidR="000B0BDA" w:rsidRPr="000B0BD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2492B" w14:textId="77777777" w:rsidR="004F4B87" w:rsidRDefault="004F4B87" w:rsidP="000B0BDA">
      <w:pPr>
        <w:spacing w:after="0" w:line="240" w:lineRule="auto"/>
      </w:pPr>
      <w:r>
        <w:separator/>
      </w:r>
    </w:p>
  </w:endnote>
  <w:endnote w:type="continuationSeparator" w:id="0">
    <w:p w14:paraId="40A65629" w14:textId="77777777" w:rsidR="004F4B87" w:rsidRDefault="004F4B87" w:rsidP="000B0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707D2" w14:textId="77777777" w:rsidR="004F4B87" w:rsidRDefault="004F4B87" w:rsidP="000B0BDA">
      <w:pPr>
        <w:spacing w:after="0" w:line="240" w:lineRule="auto"/>
      </w:pPr>
      <w:r>
        <w:separator/>
      </w:r>
    </w:p>
  </w:footnote>
  <w:footnote w:type="continuationSeparator" w:id="0">
    <w:p w14:paraId="041A0157" w14:textId="77777777" w:rsidR="004F4B87" w:rsidRDefault="004F4B87" w:rsidP="000B0B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C2F47" w14:textId="68899E5E" w:rsidR="000B0BDA" w:rsidRDefault="000B0BDA">
    <w:pPr>
      <w:pStyle w:val="Header"/>
    </w:pPr>
    <w:r>
      <w:rPr>
        <w:noProof/>
      </w:rPr>
      <w:drawing>
        <wp:inline distT="0" distB="0" distL="0" distR="0" wp14:anchorId="1D01690B" wp14:editId="164B0418">
          <wp:extent cx="1123950" cy="567168"/>
          <wp:effectExtent l="0" t="0" r="0" b="4445"/>
          <wp:docPr id="12726900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9761" cy="57010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C3B30"/>
    <w:multiLevelType w:val="hybridMultilevel"/>
    <w:tmpl w:val="D292E1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672218"/>
    <w:multiLevelType w:val="hybridMultilevel"/>
    <w:tmpl w:val="3F24A2D4"/>
    <w:lvl w:ilvl="0" w:tplc="25605DFE">
      <w:start w:val="1"/>
      <w:numFmt w:val="decimal"/>
      <w:lvlText w:val="%1."/>
      <w:lvlJc w:val="left"/>
      <w:pPr>
        <w:ind w:left="720" w:hanging="360"/>
      </w:pPr>
      <w:rPr>
        <w:rFonts w:hint="default"/>
        <w:b/>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2F15BF3"/>
    <w:multiLevelType w:val="hybridMultilevel"/>
    <w:tmpl w:val="1410316A"/>
    <w:lvl w:ilvl="0" w:tplc="25605DFE">
      <w:start w:val="1"/>
      <w:numFmt w:val="decimal"/>
      <w:lvlText w:val="%1."/>
      <w:lvlJc w:val="left"/>
      <w:pPr>
        <w:ind w:left="360" w:hanging="360"/>
      </w:pPr>
      <w:rPr>
        <w:rFonts w:hint="default"/>
        <w:b/>
        <w:bCs/>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92769A0"/>
    <w:multiLevelType w:val="hybridMultilevel"/>
    <w:tmpl w:val="F0DA8C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68B245B"/>
    <w:multiLevelType w:val="hybridMultilevel"/>
    <w:tmpl w:val="FAE0FB48"/>
    <w:lvl w:ilvl="0" w:tplc="08090001">
      <w:start w:val="1"/>
      <w:numFmt w:val="bullet"/>
      <w:lvlText w:val=""/>
      <w:lvlJc w:val="left"/>
      <w:pPr>
        <w:ind w:left="11" w:hanging="360"/>
      </w:pPr>
      <w:rPr>
        <w:rFonts w:ascii="Symbol" w:hAnsi="Symbol" w:hint="default"/>
      </w:rPr>
    </w:lvl>
    <w:lvl w:ilvl="1" w:tplc="08090003">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5" w15:restartNumberingAfterBreak="0">
    <w:nsid w:val="70BA4D3B"/>
    <w:multiLevelType w:val="multilevel"/>
    <w:tmpl w:val="0809001F"/>
    <w:lvl w:ilvl="0">
      <w:start w:val="1"/>
      <w:numFmt w:val="decimal"/>
      <w:lvlText w:val="%1."/>
      <w:lvlJc w:val="left"/>
      <w:pPr>
        <w:ind w:left="360" w:hanging="360"/>
      </w:pPr>
      <w:rPr>
        <w:rFonts w:hint="default"/>
        <w:b/>
        <w:bCs/>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34401624">
    <w:abstractNumId w:val="0"/>
  </w:num>
  <w:num w:numId="2" w16cid:durableId="1198541275">
    <w:abstractNumId w:val="2"/>
  </w:num>
  <w:num w:numId="3" w16cid:durableId="1946225753">
    <w:abstractNumId w:val="5"/>
  </w:num>
  <w:num w:numId="4" w16cid:durableId="1692991825">
    <w:abstractNumId w:val="1"/>
  </w:num>
  <w:num w:numId="5" w16cid:durableId="1314141749">
    <w:abstractNumId w:val="3"/>
  </w:num>
  <w:num w:numId="6" w16cid:durableId="20601284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BDA"/>
    <w:rsid w:val="00016B31"/>
    <w:rsid w:val="00063248"/>
    <w:rsid w:val="00083288"/>
    <w:rsid w:val="000B0BDA"/>
    <w:rsid w:val="001171E5"/>
    <w:rsid w:val="001C011B"/>
    <w:rsid w:val="00227CF6"/>
    <w:rsid w:val="00231FA8"/>
    <w:rsid w:val="00240FCB"/>
    <w:rsid w:val="002822C0"/>
    <w:rsid w:val="002C0E55"/>
    <w:rsid w:val="002E054B"/>
    <w:rsid w:val="0032388B"/>
    <w:rsid w:val="00387465"/>
    <w:rsid w:val="00415615"/>
    <w:rsid w:val="004C7F5E"/>
    <w:rsid w:val="004F2920"/>
    <w:rsid w:val="004F4B87"/>
    <w:rsid w:val="004F737B"/>
    <w:rsid w:val="005711E5"/>
    <w:rsid w:val="005E6CDC"/>
    <w:rsid w:val="00630646"/>
    <w:rsid w:val="00660050"/>
    <w:rsid w:val="00667F13"/>
    <w:rsid w:val="00675CFE"/>
    <w:rsid w:val="006C3704"/>
    <w:rsid w:val="00722229"/>
    <w:rsid w:val="00841F98"/>
    <w:rsid w:val="008A4D9D"/>
    <w:rsid w:val="00916A1E"/>
    <w:rsid w:val="009903E0"/>
    <w:rsid w:val="009D7476"/>
    <w:rsid w:val="00A52172"/>
    <w:rsid w:val="00A56085"/>
    <w:rsid w:val="00A87E19"/>
    <w:rsid w:val="00AE13D2"/>
    <w:rsid w:val="00B963E6"/>
    <w:rsid w:val="00BD1CD8"/>
    <w:rsid w:val="00BF0F10"/>
    <w:rsid w:val="00C11979"/>
    <w:rsid w:val="00C327C9"/>
    <w:rsid w:val="00C52230"/>
    <w:rsid w:val="00C64F60"/>
    <w:rsid w:val="00CA21CF"/>
    <w:rsid w:val="00CC1A0B"/>
    <w:rsid w:val="00CE26C8"/>
    <w:rsid w:val="00DC0B10"/>
    <w:rsid w:val="00DC7C4B"/>
    <w:rsid w:val="00DE0947"/>
    <w:rsid w:val="00FE3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84BFD"/>
  <w15:chartTrackingRefBased/>
  <w15:docId w15:val="{07DEDD94-9E79-40DB-9660-C4D72D452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0B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B0B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B0BD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B0BD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B0BD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B0B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0B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0B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0B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BD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B0B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0BD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0BD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0BD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0B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0B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0B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0BDA"/>
    <w:rPr>
      <w:rFonts w:eastAsiaTheme="majorEastAsia" w:cstheme="majorBidi"/>
      <w:color w:val="272727" w:themeColor="text1" w:themeTint="D8"/>
    </w:rPr>
  </w:style>
  <w:style w:type="paragraph" w:styleId="Title">
    <w:name w:val="Title"/>
    <w:basedOn w:val="Normal"/>
    <w:next w:val="Normal"/>
    <w:link w:val="TitleChar"/>
    <w:uiPriority w:val="10"/>
    <w:qFormat/>
    <w:rsid w:val="000B0B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0B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0B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0B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0BDA"/>
    <w:pPr>
      <w:spacing w:before="160"/>
      <w:jc w:val="center"/>
    </w:pPr>
    <w:rPr>
      <w:i/>
      <w:iCs/>
      <w:color w:val="404040" w:themeColor="text1" w:themeTint="BF"/>
    </w:rPr>
  </w:style>
  <w:style w:type="character" w:customStyle="1" w:styleId="QuoteChar">
    <w:name w:val="Quote Char"/>
    <w:basedOn w:val="DefaultParagraphFont"/>
    <w:link w:val="Quote"/>
    <w:uiPriority w:val="29"/>
    <w:rsid w:val="000B0BDA"/>
    <w:rPr>
      <w:i/>
      <w:iCs/>
      <w:color w:val="404040" w:themeColor="text1" w:themeTint="BF"/>
    </w:rPr>
  </w:style>
  <w:style w:type="paragraph" w:styleId="ListParagraph">
    <w:name w:val="List Paragraph"/>
    <w:basedOn w:val="Normal"/>
    <w:uiPriority w:val="34"/>
    <w:qFormat/>
    <w:rsid w:val="000B0BDA"/>
    <w:pPr>
      <w:ind w:left="720"/>
      <w:contextualSpacing/>
    </w:pPr>
  </w:style>
  <w:style w:type="character" w:styleId="IntenseEmphasis">
    <w:name w:val="Intense Emphasis"/>
    <w:basedOn w:val="DefaultParagraphFont"/>
    <w:uiPriority w:val="21"/>
    <w:qFormat/>
    <w:rsid w:val="000B0BDA"/>
    <w:rPr>
      <w:i/>
      <w:iCs/>
      <w:color w:val="2F5496" w:themeColor="accent1" w:themeShade="BF"/>
    </w:rPr>
  </w:style>
  <w:style w:type="paragraph" w:styleId="IntenseQuote">
    <w:name w:val="Intense Quote"/>
    <w:basedOn w:val="Normal"/>
    <w:next w:val="Normal"/>
    <w:link w:val="IntenseQuoteChar"/>
    <w:uiPriority w:val="30"/>
    <w:qFormat/>
    <w:rsid w:val="000B0B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0BDA"/>
    <w:rPr>
      <w:i/>
      <w:iCs/>
      <w:color w:val="2F5496" w:themeColor="accent1" w:themeShade="BF"/>
    </w:rPr>
  </w:style>
  <w:style w:type="character" w:styleId="IntenseReference">
    <w:name w:val="Intense Reference"/>
    <w:basedOn w:val="DefaultParagraphFont"/>
    <w:uiPriority w:val="32"/>
    <w:qFormat/>
    <w:rsid w:val="000B0BDA"/>
    <w:rPr>
      <w:b/>
      <w:bCs/>
      <w:smallCaps/>
      <w:color w:val="2F5496" w:themeColor="accent1" w:themeShade="BF"/>
      <w:spacing w:val="5"/>
    </w:rPr>
  </w:style>
  <w:style w:type="paragraph" w:styleId="Header">
    <w:name w:val="header"/>
    <w:basedOn w:val="Normal"/>
    <w:link w:val="HeaderChar"/>
    <w:uiPriority w:val="99"/>
    <w:unhideWhenUsed/>
    <w:rsid w:val="000B0B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0BDA"/>
  </w:style>
  <w:style w:type="paragraph" w:styleId="Footer">
    <w:name w:val="footer"/>
    <w:basedOn w:val="Normal"/>
    <w:link w:val="FooterChar"/>
    <w:uiPriority w:val="99"/>
    <w:unhideWhenUsed/>
    <w:rsid w:val="000B0B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0B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2145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Delonnette, Heather</dc:creator>
  <cp:keywords/>
  <dc:description/>
  <cp:lastModifiedBy>Honeywill, Steven</cp:lastModifiedBy>
  <cp:revision>2</cp:revision>
  <dcterms:created xsi:type="dcterms:W3CDTF">2025-06-18T14:34:00Z</dcterms:created>
  <dcterms:modified xsi:type="dcterms:W3CDTF">2025-06-18T14:34:00Z</dcterms:modified>
</cp:coreProperties>
</file>